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FA622">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13D7D798">
      <w:pPr>
        <w:rPr>
          <w:rFonts w:hint="default" w:ascii="Times New Roman" w:hAnsi="Times New Roman" w:cs="Times New Roman"/>
        </w:rPr>
      </w:pPr>
    </w:p>
    <w:p w14:paraId="7E2C4A55">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连城县</w:t>
      </w:r>
      <w:r>
        <w:rPr>
          <w:rFonts w:hint="default" w:ascii="Times New Roman" w:hAnsi="Times New Roman" w:eastAsia="方正小标宋简体" w:cs="Times New Roman"/>
          <w:sz w:val="44"/>
          <w:szCs w:val="44"/>
        </w:rPr>
        <w:t>交通工程领域招投标不规范影响营商</w:t>
      </w:r>
    </w:p>
    <w:p w14:paraId="057666F1">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环境专项整治工作领导小组</w:t>
      </w:r>
    </w:p>
    <w:p w14:paraId="70C75CD6">
      <w:pPr>
        <w:rPr>
          <w:rFonts w:hint="default" w:ascii="Times New Roman" w:hAnsi="Times New Roman" w:cs="Times New Roman"/>
        </w:rPr>
      </w:pPr>
    </w:p>
    <w:p w14:paraId="45D59894">
      <w:pPr>
        <w:spacing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组长：</w:t>
      </w:r>
      <w:r>
        <w:rPr>
          <w:rFonts w:hint="default" w:ascii="Times New Roman" w:hAnsi="Times New Roman" w:eastAsia="仿宋_GB2312" w:cs="Times New Roman"/>
          <w:sz w:val="32"/>
          <w:szCs w:val="32"/>
          <w:lang w:val="en-US" w:eastAsia="zh-CN"/>
        </w:rPr>
        <w:t>李光柠</w:t>
      </w:r>
      <w:r>
        <w:rPr>
          <w:rFonts w:hint="default" w:ascii="Times New Roman" w:hAnsi="Times New Roman" w:eastAsia="仿宋_GB2312" w:cs="Times New Roman"/>
          <w:sz w:val="32"/>
          <w:szCs w:val="32"/>
        </w:rPr>
        <w:t xml:space="preserve">  局党组成员、副局长</w:t>
      </w:r>
    </w:p>
    <w:p w14:paraId="4662C220">
      <w:pPr>
        <w:spacing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成员：</w:t>
      </w:r>
      <w:r>
        <w:rPr>
          <w:rFonts w:hint="default" w:ascii="Times New Roman" w:hAnsi="Times New Roman" w:eastAsia="仿宋_GB2312" w:cs="Times New Roman"/>
          <w:sz w:val="32"/>
          <w:szCs w:val="32"/>
          <w:lang w:eastAsia="zh-CN"/>
        </w:rPr>
        <w:t>罗昌远</w:t>
      </w:r>
      <w:r>
        <w:rPr>
          <w:rFonts w:hint="default" w:ascii="Times New Roman" w:hAnsi="Times New Roman" w:eastAsia="仿宋_GB2312" w:cs="Times New Roman"/>
          <w:sz w:val="32"/>
          <w:szCs w:val="32"/>
          <w:lang w:val="en-US" w:eastAsia="zh-CN"/>
        </w:rPr>
        <w:t xml:space="preserve">  县交通运输综合执法大队大队长</w:t>
      </w:r>
    </w:p>
    <w:p w14:paraId="2BF0C330">
      <w:pPr>
        <w:spacing w:line="360" w:lineRule="auto"/>
        <w:ind w:firstLine="1600" w:firstLineChars="5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吴  迪</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县县乡公路站站长</w:t>
      </w:r>
    </w:p>
    <w:p w14:paraId="2F5DF5C0">
      <w:pPr>
        <w:spacing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罗兆雄</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县农村公路养护服务中心主任</w:t>
      </w:r>
    </w:p>
    <w:p w14:paraId="3B2CD544">
      <w:pPr>
        <w:spacing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沈忠敏</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县交通投资建设有限公司负责人</w:t>
      </w:r>
    </w:p>
    <w:p w14:paraId="6BB809F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领导小组统筹推进交通工程领域招投标不规范影响营商环境专项整治工作，协调解决工作中遇到的重大事项和问题。领导小组下设工作专班，挂靠在</w:t>
      </w:r>
      <w:r>
        <w:rPr>
          <w:rFonts w:hint="default" w:ascii="Times New Roman" w:hAnsi="Times New Roman" w:eastAsia="仿宋_GB2312" w:cs="Times New Roman"/>
          <w:sz w:val="32"/>
          <w:szCs w:val="32"/>
          <w:lang w:val="en-US" w:eastAsia="zh-CN"/>
        </w:rPr>
        <w:t>县公路站</w:t>
      </w:r>
      <w:r>
        <w:rPr>
          <w:rFonts w:hint="default" w:ascii="Times New Roman" w:hAnsi="Times New Roman" w:eastAsia="仿宋_GB2312" w:cs="Times New Roman"/>
          <w:sz w:val="32"/>
          <w:szCs w:val="32"/>
        </w:rPr>
        <w:t>，人员</w:t>
      </w:r>
      <w:r>
        <w:rPr>
          <w:rFonts w:hint="default" w:ascii="Times New Roman" w:hAnsi="Times New Roman" w:eastAsia="仿宋_GB2312" w:cs="Times New Roman"/>
          <w:sz w:val="32"/>
          <w:szCs w:val="32"/>
          <w:lang w:val="en-US" w:eastAsia="zh-CN"/>
        </w:rPr>
        <w:t>由县公路站、县养护中心、县交投公司</w:t>
      </w:r>
      <w:r>
        <w:rPr>
          <w:rFonts w:hint="default" w:ascii="Times New Roman" w:hAnsi="Times New Roman" w:eastAsia="仿宋_GB2312" w:cs="Times New Roman"/>
          <w:sz w:val="32"/>
          <w:szCs w:val="32"/>
        </w:rPr>
        <w:t>等单位</w:t>
      </w:r>
      <w:r>
        <w:rPr>
          <w:rFonts w:hint="default" w:ascii="Times New Roman" w:hAnsi="Times New Roman" w:eastAsia="仿宋_GB2312" w:cs="Times New Roman"/>
          <w:sz w:val="32"/>
          <w:szCs w:val="32"/>
          <w:lang w:val="en-US" w:eastAsia="zh-CN"/>
        </w:rPr>
        <w:t>业务骨干组成</w:t>
      </w:r>
      <w:r>
        <w:rPr>
          <w:rFonts w:hint="default" w:ascii="Times New Roman" w:hAnsi="Times New Roman" w:eastAsia="仿宋_GB2312" w:cs="Times New Roman"/>
          <w:sz w:val="32"/>
          <w:szCs w:val="32"/>
        </w:rPr>
        <w:t>，根据阶段工作任务不定期组织集中办公。工作专班承担专项整治日常工作，做好与</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纪委监委、</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发改</w:t>
      </w:r>
      <w:r>
        <w:rPr>
          <w:rFonts w:hint="default" w:ascii="Times New Roman" w:hAnsi="Times New Roman" w:eastAsia="仿宋_GB2312" w:cs="Times New Roman"/>
          <w:sz w:val="32"/>
          <w:szCs w:val="32"/>
          <w:lang w:val="en-US" w:eastAsia="zh-CN"/>
        </w:rPr>
        <w:t>局、市交通运输局</w:t>
      </w:r>
      <w:r>
        <w:rPr>
          <w:rFonts w:hint="default" w:ascii="Times New Roman" w:hAnsi="Times New Roman" w:eastAsia="仿宋_GB2312" w:cs="Times New Roman"/>
          <w:sz w:val="32"/>
          <w:szCs w:val="32"/>
        </w:rPr>
        <w:t>工作对接，研究起草工作方案等文件；落实领导小组议定事项；组织开展督导服务；及时向领导小组请示报告重要工作和重大问题，提出工作建议；承担领导小组交办的其他工作。</w:t>
      </w:r>
    </w:p>
    <w:p w14:paraId="08A2FAEC">
      <w:pPr>
        <w:pStyle w:val="2"/>
        <w:rPr>
          <w:rFonts w:hint="default" w:ascii="Times New Roman" w:hAnsi="Times New Roman" w:eastAsia="仿宋_GB2312" w:cs="Times New Roman"/>
          <w:sz w:val="32"/>
          <w:szCs w:val="32"/>
        </w:rPr>
      </w:pPr>
    </w:p>
    <w:p w14:paraId="5BB528CD">
      <w:pPr>
        <w:pStyle w:val="3"/>
        <w:rPr>
          <w:rFonts w:hint="default" w:ascii="Times New Roman" w:hAnsi="Times New Roman" w:eastAsia="仿宋_GB2312" w:cs="Times New Roman"/>
          <w:sz w:val="32"/>
          <w:szCs w:val="32"/>
        </w:rPr>
        <w:sectPr>
          <w:footerReference r:id="rId3" w:type="default"/>
          <w:pgSz w:w="11906" w:h="16838"/>
          <w:pgMar w:top="1701" w:right="1531" w:bottom="1701" w:left="1531" w:header="851" w:footer="1417" w:gutter="0"/>
          <w:pgNumType w:fmt="decimal"/>
          <w:cols w:space="0" w:num="1"/>
          <w:rtlGutter w:val="0"/>
          <w:docGrid w:type="lines" w:linePitch="447" w:charSpace="0"/>
        </w:sectPr>
      </w:pPr>
    </w:p>
    <w:p w14:paraId="48B2EEC7">
      <w:pPr>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en-US"/>
        </w:rPr>
        <w:t>附件</w:t>
      </w:r>
      <w:r>
        <w:rPr>
          <w:rFonts w:hint="default" w:ascii="Times New Roman" w:hAnsi="Times New Roman" w:eastAsia="黑体" w:cs="Times New Roman"/>
          <w:sz w:val="32"/>
          <w:szCs w:val="32"/>
          <w:lang w:val="en-US" w:eastAsia="zh-CN"/>
        </w:rPr>
        <w:t>2</w:t>
      </w:r>
    </w:p>
    <w:tbl>
      <w:tblPr>
        <w:tblStyle w:val="10"/>
        <w:tblW w:w="16200" w:type="dxa"/>
        <w:tblInd w:w="93" w:type="dxa"/>
        <w:tblLayout w:type="autofit"/>
        <w:tblCellMar>
          <w:top w:w="0" w:type="dxa"/>
          <w:left w:w="108" w:type="dxa"/>
          <w:bottom w:w="0" w:type="dxa"/>
          <w:right w:w="108" w:type="dxa"/>
        </w:tblCellMar>
      </w:tblPr>
      <w:tblGrid>
        <w:gridCol w:w="810"/>
        <w:gridCol w:w="810"/>
        <w:gridCol w:w="810"/>
        <w:gridCol w:w="810"/>
        <w:gridCol w:w="810"/>
        <w:gridCol w:w="810"/>
        <w:gridCol w:w="810"/>
        <w:gridCol w:w="810"/>
        <w:gridCol w:w="810"/>
        <w:gridCol w:w="810"/>
        <w:gridCol w:w="810"/>
        <w:gridCol w:w="810"/>
        <w:gridCol w:w="810"/>
        <w:gridCol w:w="810"/>
        <w:gridCol w:w="810"/>
        <w:gridCol w:w="810"/>
        <w:gridCol w:w="810"/>
        <w:gridCol w:w="810"/>
        <w:gridCol w:w="810"/>
        <w:gridCol w:w="810"/>
      </w:tblGrid>
      <w:tr w14:paraId="03E4D5C2">
        <w:tblPrEx>
          <w:tblCellMar>
            <w:top w:w="0" w:type="dxa"/>
            <w:left w:w="108" w:type="dxa"/>
            <w:bottom w:w="0" w:type="dxa"/>
            <w:right w:w="108" w:type="dxa"/>
          </w:tblCellMar>
        </w:tblPrEx>
        <w:trPr>
          <w:trHeight w:val="680" w:hRule="atLeast"/>
        </w:trPr>
        <w:tc>
          <w:tcPr>
            <w:tcW w:w="16200" w:type="dxa"/>
            <w:gridSpan w:val="20"/>
            <w:tcBorders>
              <w:top w:val="nil"/>
              <w:left w:val="nil"/>
              <w:bottom w:val="nil"/>
              <w:right w:val="nil"/>
            </w:tcBorders>
            <w:noWrap w:val="0"/>
            <w:vAlign w:val="center"/>
          </w:tcPr>
          <w:p w14:paraId="4A4FB8A9">
            <w:pPr>
              <w:widowControl/>
              <w:kinsoku w:val="0"/>
              <w:autoSpaceDE w:val="0"/>
              <w:autoSpaceDN w:val="0"/>
              <w:adjustRightInd w:val="0"/>
              <w:snapToGrid w:val="0"/>
              <w:jc w:val="center"/>
              <w:textAlignment w:val="center"/>
              <w:rPr>
                <w:rFonts w:hint="default" w:ascii="Times New Roman" w:hAnsi="Times New Roman" w:eastAsia="方正公文小标宋" w:cs="Times New Roman"/>
                <w:snapToGrid w:val="0"/>
                <w:color w:val="000000"/>
                <w:kern w:val="0"/>
                <w:sz w:val="28"/>
                <w:szCs w:val="28"/>
              </w:rPr>
            </w:pPr>
            <w:r>
              <w:rPr>
                <w:rFonts w:hint="default" w:ascii="Times New Roman" w:hAnsi="Times New Roman" w:eastAsia="方正公文小标宋" w:cs="Times New Roman"/>
                <w:b w:val="0"/>
                <w:bCs w:val="0"/>
                <w:snapToGrid w:val="0"/>
                <w:color w:val="000000"/>
                <w:kern w:val="0"/>
                <w:sz w:val="36"/>
                <w:szCs w:val="36"/>
                <w:lang w:bidi="ar"/>
              </w:rPr>
              <w:t>工程领域招投标不规范影响营商环境突出问题专项整治“一项一档”情况表</w:t>
            </w:r>
          </w:p>
        </w:tc>
      </w:tr>
      <w:tr w14:paraId="65BF46EF">
        <w:tblPrEx>
          <w:tblCellMar>
            <w:top w:w="0" w:type="dxa"/>
            <w:left w:w="108" w:type="dxa"/>
            <w:bottom w:w="0" w:type="dxa"/>
            <w:right w:w="108" w:type="dxa"/>
          </w:tblCellMar>
        </w:tblPrEx>
        <w:trPr>
          <w:trHeight w:val="660" w:hRule="atLeast"/>
        </w:trPr>
        <w:tc>
          <w:tcPr>
            <w:tcW w:w="16200" w:type="dxa"/>
            <w:gridSpan w:val="20"/>
            <w:tcBorders>
              <w:top w:val="nil"/>
              <w:left w:val="nil"/>
              <w:bottom w:val="nil"/>
              <w:right w:val="nil"/>
            </w:tcBorders>
            <w:noWrap w:val="0"/>
            <w:vAlign w:val="center"/>
          </w:tcPr>
          <w:p w14:paraId="3405AAF9">
            <w:pPr>
              <w:widowControl/>
              <w:kinsoku w:val="0"/>
              <w:autoSpaceDE w:val="0"/>
              <w:autoSpaceDN w:val="0"/>
              <w:adjustRightInd w:val="0"/>
              <w:snapToGrid w:val="0"/>
              <w:jc w:val="left"/>
              <w:textAlignment w:val="center"/>
              <w:rPr>
                <w:rFonts w:hint="default" w:ascii="Times New Roman" w:hAnsi="Times New Roman" w:cs="Times New Roman"/>
                <w:snapToGrid w:val="0"/>
                <w:color w:val="000000"/>
                <w:kern w:val="0"/>
                <w:sz w:val="20"/>
                <w:szCs w:val="20"/>
              </w:rPr>
            </w:pPr>
            <w:r>
              <w:rPr>
                <w:rFonts w:hint="default" w:ascii="Times New Roman" w:hAnsi="Times New Roman" w:cs="Times New Roman"/>
                <w:snapToGrid w:val="0"/>
                <w:color w:val="000000"/>
                <w:kern w:val="0"/>
                <w:sz w:val="20"/>
                <w:szCs w:val="20"/>
                <w:lang w:bidi="ar"/>
              </w:rPr>
              <w:t>单位名称：                                                                                                                                                                                   填表时间：   年  月  日</w:t>
            </w:r>
          </w:p>
        </w:tc>
      </w:tr>
      <w:tr w14:paraId="6EB92774">
        <w:tblPrEx>
          <w:tblCellMar>
            <w:top w:w="0" w:type="dxa"/>
            <w:left w:w="108" w:type="dxa"/>
            <w:bottom w:w="0" w:type="dxa"/>
            <w:right w:w="108" w:type="dxa"/>
          </w:tblCellMar>
        </w:tblPrEx>
        <w:trPr>
          <w:trHeight w:val="67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478EAE1">
            <w:pPr>
              <w:widowControl/>
              <w:kinsoku w:val="0"/>
              <w:autoSpaceDE w:val="0"/>
              <w:autoSpaceDN w:val="0"/>
              <w:adjustRightInd w:val="0"/>
              <w:snapToGrid w:val="0"/>
              <w:jc w:val="left"/>
              <w:textAlignment w:val="center"/>
              <w:rPr>
                <w:rFonts w:hint="default" w:ascii="Times New Roman" w:hAnsi="Times New Roman" w:cs="Times New Roman"/>
                <w:snapToGrid w:val="0"/>
                <w:color w:val="000000"/>
                <w:kern w:val="0"/>
                <w:sz w:val="18"/>
                <w:szCs w:val="18"/>
                <w:lang w:eastAsia="en-US"/>
              </w:rPr>
            </w:pPr>
            <w:r>
              <w:rPr>
                <w:rFonts w:hint="default" w:ascii="Times New Roman" w:hAnsi="Times New Roman" w:cs="Times New Roman"/>
                <w:b/>
                <w:bCs/>
                <w:snapToGrid w:val="0"/>
                <w:color w:val="000000"/>
                <w:kern w:val="0"/>
                <w:sz w:val="18"/>
                <w:szCs w:val="18"/>
                <w:lang w:bidi="ar"/>
              </w:rPr>
              <w:t xml:space="preserve">  事项</w:t>
            </w:r>
            <w:r>
              <w:rPr>
                <w:rFonts w:hint="default" w:ascii="Times New Roman" w:hAnsi="Times New Roman" w:cs="Times New Roman"/>
                <w:b/>
                <w:bCs/>
                <w:snapToGrid w:val="0"/>
                <w:color w:val="000000"/>
                <w:kern w:val="0"/>
                <w:sz w:val="18"/>
                <w:szCs w:val="18"/>
                <w:lang w:bidi="ar"/>
              </w:rPr>
              <w:br w:type="textWrapping"/>
            </w:r>
            <w:r>
              <w:rPr>
                <w:rFonts w:hint="default" w:ascii="Times New Roman" w:hAnsi="Times New Roman" w:cs="Times New Roman"/>
                <w:b/>
                <w:bCs/>
                <w:snapToGrid w:val="0"/>
                <w:color w:val="000000"/>
                <w:kern w:val="0"/>
                <w:sz w:val="18"/>
                <w:szCs w:val="18"/>
                <w:lang w:bidi="ar"/>
              </w:rPr>
              <w:br w:type="textWrapping"/>
            </w:r>
            <w:r>
              <w:rPr>
                <w:rFonts w:hint="default" w:ascii="Times New Roman" w:hAnsi="Times New Roman" w:cs="Times New Roman"/>
                <w:b/>
                <w:bCs/>
                <w:snapToGrid w:val="0"/>
                <w:color w:val="000000"/>
                <w:kern w:val="0"/>
                <w:sz w:val="18"/>
                <w:szCs w:val="18"/>
                <w:lang w:bidi="ar"/>
              </w:rPr>
              <w:t>时间</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53CCA451">
            <w:pPr>
              <w:widowControl/>
              <w:kinsoku w:val="0"/>
              <w:autoSpaceDE w:val="0"/>
              <w:autoSpaceDN w:val="0"/>
              <w:adjustRightInd w:val="0"/>
              <w:snapToGrid w:val="0"/>
              <w:jc w:val="center"/>
              <w:textAlignment w:val="center"/>
              <w:rPr>
                <w:rFonts w:hint="default" w:ascii="Times New Roman" w:hAnsi="Times New Roman" w:eastAsia="Arial" w:cs="Times New Roman"/>
                <w:b/>
                <w:bCs/>
                <w:snapToGrid w:val="0"/>
                <w:color w:val="000000"/>
                <w:kern w:val="0"/>
                <w:sz w:val="18"/>
                <w:szCs w:val="18"/>
              </w:rPr>
            </w:pPr>
            <w:r>
              <w:rPr>
                <w:rFonts w:hint="default" w:ascii="Times New Roman" w:hAnsi="Times New Roman" w:cs="Times New Roman"/>
                <w:b/>
                <w:bCs/>
                <w:snapToGrid w:val="0"/>
                <w:color w:val="000000"/>
                <w:kern w:val="0"/>
                <w:sz w:val="18"/>
                <w:szCs w:val="18"/>
                <w:lang w:bidi="ar"/>
              </w:rPr>
              <w:t>推动职能部门整改问题情况</w:t>
            </w:r>
          </w:p>
        </w:tc>
        <w:tc>
          <w:tcPr>
            <w:tcW w:w="6480" w:type="dxa"/>
            <w:gridSpan w:val="8"/>
            <w:tcBorders>
              <w:top w:val="single" w:color="000000" w:sz="4" w:space="0"/>
              <w:left w:val="single" w:color="000000" w:sz="4" w:space="0"/>
              <w:bottom w:val="single" w:color="000000" w:sz="4" w:space="0"/>
              <w:right w:val="single" w:color="000000" w:sz="4" w:space="0"/>
            </w:tcBorders>
            <w:noWrap w:val="0"/>
            <w:vAlign w:val="center"/>
          </w:tcPr>
          <w:p w14:paraId="0C852576">
            <w:pPr>
              <w:widowControl/>
              <w:kinsoku w:val="0"/>
              <w:autoSpaceDE w:val="0"/>
              <w:autoSpaceDN w:val="0"/>
              <w:adjustRightInd w:val="0"/>
              <w:snapToGrid w:val="0"/>
              <w:jc w:val="center"/>
              <w:textAlignment w:val="center"/>
              <w:rPr>
                <w:rFonts w:hint="default" w:ascii="Times New Roman" w:hAnsi="Times New Roman" w:eastAsia="Arial" w:cs="Times New Roman"/>
                <w:b/>
                <w:bCs/>
                <w:snapToGrid w:val="0"/>
                <w:color w:val="000000"/>
                <w:kern w:val="0"/>
                <w:sz w:val="18"/>
                <w:szCs w:val="18"/>
              </w:rPr>
            </w:pPr>
            <w:r>
              <w:rPr>
                <w:rFonts w:hint="default" w:ascii="Times New Roman" w:hAnsi="Times New Roman" w:cs="Times New Roman"/>
                <w:b/>
                <w:bCs/>
                <w:snapToGrid w:val="0"/>
                <w:color w:val="000000"/>
                <w:kern w:val="0"/>
                <w:sz w:val="18"/>
                <w:szCs w:val="18"/>
                <w:lang w:bidi="ar"/>
              </w:rPr>
              <w:t>纪检监察机关监督执纪情况</w:t>
            </w:r>
          </w:p>
        </w:tc>
        <w:tc>
          <w:tcPr>
            <w:tcW w:w="5670" w:type="dxa"/>
            <w:gridSpan w:val="7"/>
            <w:tcBorders>
              <w:top w:val="single" w:color="000000" w:sz="4" w:space="0"/>
              <w:left w:val="single" w:color="000000" w:sz="4" w:space="0"/>
              <w:bottom w:val="single" w:color="000000" w:sz="4" w:space="0"/>
              <w:right w:val="single" w:color="000000" w:sz="4" w:space="0"/>
            </w:tcBorders>
            <w:noWrap w:val="0"/>
            <w:vAlign w:val="center"/>
          </w:tcPr>
          <w:p w14:paraId="4D8C10E8">
            <w:pPr>
              <w:widowControl/>
              <w:kinsoku w:val="0"/>
              <w:autoSpaceDE w:val="0"/>
              <w:autoSpaceDN w:val="0"/>
              <w:adjustRightInd w:val="0"/>
              <w:snapToGrid w:val="0"/>
              <w:jc w:val="center"/>
              <w:textAlignment w:val="center"/>
              <w:rPr>
                <w:rFonts w:hint="default" w:ascii="Times New Roman" w:hAnsi="Times New Roman" w:eastAsia="Arial" w:cs="Times New Roman"/>
                <w:b/>
                <w:bCs/>
                <w:snapToGrid w:val="0"/>
                <w:color w:val="000000"/>
                <w:kern w:val="0"/>
                <w:sz w:val="18"/>
                <w:szCs w:val="18"/>
                <w:lang w:eastAsia="en-US"/>
              </w:rPr>
            </w:pPr>
            <w:r>
              <w:rPr>
                <w:rFonts w:hint="default" w:ascii="Times New Roman" w:hAnsi="Times New Roman" w:cs="Times New Roman"/>
                <w:b/>
                <w:bCs/>
                <w:snapToGrid w:val="0"/>
                <w:color w:val="000000"/>
                <w:kern w:val="0"/>
                <w:sz w:val="18"/>
                <w:szCs w:val="18"/>
                <w:lang w:bidi="ar"/>
              </w:rPr>
              <w:t>综合成效</w:t>
            </w:r>
          </w:p>
        </w:tc>
      </w:tr>
      <w:tr w14:paraId="332C86CA">
        <w:tblPrEx>
          <w:tblCellMar>
            <w:top w:w="0" w:type="dxa"/>
            <w:left w:w="108" w:type="dxa"/>
            <w:bottom w:w="0" w:type="dxa"/>
            <w:right w:w="108" w:type="dxa"/>
          </w:tblCellMar>
        </w:tblPrEx>
        <w:trPr>
          <w:trHeight w:val="800" w:hRule="atLeast"/>
        </w:trPr>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E694B">
            <w:pPr>
              <w:widowControl/>
              <w:kinsoku w:val="0"/>
              <w:autoSpaceDE w:val="0"/>
              <w:autoSpaceDN w:val="0"/>
              <w:adjustRightInd w:val="0"/>
              <w:snapToGrid w:val="0"/>
              <w:jc w:val="center"/>
              <w:textAlignment w:val="center"/>
              <w:rPr>
                <w:rFonts w:hint="default" w:ascii="Times New Roman" w:hAnsi="Times New Roman"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数据统</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计区间</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9D4A92">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整改问</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题数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F14115">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追责问</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责人数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D488E">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向纪检</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监察机</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关移送</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问题线</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索数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EF2ECA8">
            <w:pPr>
              <w:widowControl/>
              <w:kinsoku w:val="0"/>
              <w:autoSpaceDE w:val="0"/>
              <w:autoSpaceDN w:val="0"/>
              <w:adjustRightInd w:val="0"/>
              <w:snapToGrid w:val="0"/>
              <w:jc w:val="center"/>
              <w:textAlignment w:val="center"/>
              <w:rPr>
                <w:rFonts w:hint="default" w:ascii="Times New Roman" w:hAnsi="Times New Roman"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清缴追</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回资金</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金额</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 亿</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元 )</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8B9BA73">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受理线</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索数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1E3A26BC">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立案人数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50E34">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留置人数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676DF">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查处腐</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败和作</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风问题</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5B9591">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批评教</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育人数</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和处理</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7E8682">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党纪政</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务处分</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249AF">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移送检</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察机关</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人数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41D9CC3F">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结案数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05D96483">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制发纪</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检监察</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建议数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5EE59">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推动健</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全完善</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制度数</w:t>
            </w:r>
          </w:p>
        </w:tc>
        <w:tc>
          <w:tcPr>
            <w:tcW w:w="8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200195">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退还群</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众涉案</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财务金</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额 ( 亿</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元 )</w:t>
            </w:r>
          </w:p>
        </w:tc>
        <w:tc>
          <w:tcPr>
            <w:tcW w:w="1620" w:type="dxa"/>
            <w:gridSpan w:val="2"/>
            <w:tcBorders>
              <w:top w:val="single" w:color="000000" w:sz="4" w:space="0"/>
              <w:left w:val="single" w:color="000000" w:sz="4" w:space="0"/>
              <w:bottom w:val="single" w:color="000000" w:sz="4" w:space="0"/>
              <w:right w:val="single" w:color="000000" w:sz="4" w:space="0"/>
            </w:tcBorders>
            <w:noWrap w:val="0"/>
            <w:vAlign w:val="center"/>
          </w:tcPr>
          <w:p w14:paraId="6C4A0947">
            <w:pPr>
              <w:widowControl/>
              <w:kinsoku w:val="0"/>
              <w:autoSpaceDE w:val="0"/>
              <w:autoSpaceDN w:val="0"/>
              <w:adjustRightInd w:val="0"/>
              <w:snapToGrid w:val="0"/>
              <w:jc w:val="center"/>
              <w:textAlignment w:val="center"/>
              <w:rPr>
                <w:rFonts w:hint="default" w:ascii="Times New Roman" w:hAnsi="Times New Roman"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综合评价</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“好”</w:t>
            </w:r>
          </w:p>
        </w:tc>
        <w:tc>
          <w:tcPr>
            <w:tcW w:w="1620" w:type="dxa"/>
            <w:gridSpan w:val="2"/>
            <w:tcBorders>
              <w:top w:val="single" w:color="000000" w:sz="4" w:space="0"/>
              <w:left w:val="single" w:color="000000" w:sz="4" w:space="0"/>
              <w:bottom w:val="single" w:color="000000" w:sz="4" w:space="0"/>
              <w:right w:val="single" w:color="000000" w:sz="4" w:space="0"/>
            </w:tcBorders>
            <w:noWrap w:val="0"/>
            <w:vAlign w:val="center"/>
          </w:tcPr>
          <w:p w14:paraId="032B4267">
            <w:pPr>
              <w:widowControl/>
              <w:kinsoku w:val="0"/>
              <w:autoSpaceDE w:val="0"/>
              <w:autoSpaceDN w:val="0"/>
              <w:adjustRightInd w:val="0"/>
              <w:snapToGrid w:val="0"/>
              <w:jc w:val="center"/>
              <w:textAlignment w:val="center"/>
              <w:rPr>
                <w:rFonts w:hint="default" w:ascii="Times New Roman" w:hAnsi="Times New Roman"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综合评价</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“薄弱”</w:t>
            </w:r>
          </w:p>
        </w:tc>
      </w:tr>
      <w:tr w14:paraId="4F8699B5">
        <w:tblPrEx>
          <w:tblCellMar>
            <w:top w:w="0" w:type="dxa"/>
            <w:left w:w="108" w:type="dxa"/>
            <w:bottom w:w="0" w:type="dxa"/>
            <w:right w:w="108" w:type="dxa"/>
          </w:tblCellMar>
        </w:tblPrEx>
        <w:trPr>
          <w:trHeight w:val="800" w:hRule="atLeast"/>
        </w:trPr>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B08A8">
            <w:pPr>
              <w:widowControl/>
              <w:kinsoku w:val="0"/>
              <w:autoSpaceDE w:val="0"/>
              <w:autoSpaceDN w:val="0"/>
              <w:adjustRightInd w:val="0"/>
              <w:snapToGrid w:val="0"/>
              <w:jc w:val="center"/>
              <w:textAlignment w:val="baseline"/>
              <w:rPr>
                <w:rFonts w:hint="default" w:ascii="Times New Roman" w:hAnsi="Times New Roman"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40C3D">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9CCA4">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B74FD">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CD067">
            <w:pPr>
              <w:widowControl/>
              <w:kinsoku w:val="0"/>
              <w:autoSpaceDE w:val="0"/>
              <w:autoSpaceDN w:val="0"/>
              <w:adjustRightInd w:val="0"/>
              <w:snapToGrid w:val="0"/>
              <w:jc w:val="center"/>
              <w:textAlignment w:val="baseline"/>
              <w:rPr>
                <w:rFonts w:hint="default" w:ascii="Times New Roman" w:hAnsi="Times New Roman"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31A8E">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5318D">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47B0F">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F2820">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F4BF1">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5FEE0">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3471A">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A5D28">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EFA2F">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B4899">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BE6B6">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18"/>
                <w:szCs w:val="18"/>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9CF7FF6">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地市</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1D44A19">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县区</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F876C82">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地市</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E1327AD">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县区</w:t>
            </w:r>
          </w:p>
        </w:tc>
      </w:tr>
      <w:tr w14:paraId="75656A2E">
        <w:tblPrEx>
          <w:tblCellMar>
            <w:top w:w="0" w:type="dxa"/>
            <w:left w:w="108" w:type="dxa"/>
            <w:bottom w:w="0" w:type="dxa"/>
            <w:right w:w="108" w:type="dxa"/>
          </w:tblCellMar>
        </w:tblPrEx>
        <w:trPr>
          <w:trHeight w:val="45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78E481B">
            <w:pPr>
              <w:widowControl/>
              <w:kinsoku w:val="0"/>
              <w:autoSpaceDE w:val="0"/>
              <w:autoSpaceDN w:val="0"/>
              <w:adjustRightInd w:val="0"/>
              <w:snapToGrid w:val="0"/>
              <w:jc w:val="center"/>
              <w:textAlignment w:val="center"/>
              <w:rPr>
                <w:rFonts w:hint="default" w:ascii="Times New Roman" w:hAnsi="Times New Roman"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截止</w:t>
            </w:r>
            <w:r>
              <w:rPr>
                <w:rFonts w:hint="default" w:ascii="Times New Roman" w:hAnsi="Times New Roman" w:cs="Times New Roman"/>
                <w:snapToGrid w:val="0"/>
                <w:color w:val="000000"/>
                <w:kern w:val="0"/>
                <w:sz w:val="18"/>
                <w:szCs w:val="18"/>
                <w:lang w:bidi="ar"/>
              </w:rPr>
              <w:br w:type="textWrapping"/>
            </w:r>
            <w:r>
              <w:rPr>
                <w:rFonts w:hint="default" w:ascii="Times New Roman" w:hAnsi="Times New Roman" w:cs="Times New Roman"/>
                <w:snapToGrid w:val="0"/>
                <w:color w:val="000000"/>
                <w:kern w:val="0"/>
                <w:sz w:val="18"/>
                <w:szCs w:val="18"/>
                <w:lang w:bidi="ar"/>
              </w:rPr>
              <w:t>*月*日</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D745F66">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6BE5533">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BEF0E0B">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250FCD">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9DA9F5">
            <w:pPr>
              <w:widowControl/>
              <w:kinsoku w:val="0"/>
              <w:autoSpaceDE w:val="0"/>
              <w:autoSpaceDN w:val="0"/>
              <w:adjustRightInd w:val="0"/>
              <w:snapToGrid w:val="0"/>
              <w:jc w:val="left"/>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D4A13A6">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AB0A2F0">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D273B28">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54E302C">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F4954B5">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E62ACCA">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FF9BA42">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54B9DF0">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BDCBAC4">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7829C31">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F48425B">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2D22937">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96E3E93">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CF38D8">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r>
      <w:tr w14:paraId="46C918BE">
        <w:tblPrEx>
          <w:tblCellMar>
            <w:top w:w="0" w:type="dxa"/>
            <w:left w:w="108" w:type="dxa"/>
            <w:bottom w:w="0" w:type="dxa"/>
            <w:right w:w="108" w:type="dxa"/>
          </w:tblCellMar>
        </w:tblPrEx>
        <w:trPr>
          <w:trHeight w:val="580" w:hRule="atLeast"/>
        </w:trPr>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2A5B94AD">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问题表现</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3A8BBA2E">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亮点特色品牌</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101028D3">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短板弱项问题</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2B1E10D4">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典型案件</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06CEF708">
            <w:pPr>
              <w:widowControl/>
              <w:kinsoku w:val="0"/>
              <w:autoSpaceDE w:val="0"/>
              <w:autoSpaceDN w:val="0"/>
              <w:adjustRightInd w:val="0"/>
              <w:snapToGrid w:val="0"/>
              <w:jc w:val="center"/>
              <w:textAlignment w:val="center"/>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典型实事</w:t>
            </w:r>
          </w:p>
        </w:tc>
      </w:tr>
      <w:tr w14:paraId="5EA1C978">
        <w:tblPrEx>
          <w:tblCellMar>
            <w:top w:w="0" w:type="dxa"/>
            <w:left w:w="108" w:type="dxa"/>
            <w:bottom w:w="0" w:type="dxa"/>
            <w:right w:w="108" w:type="dxa"/>
          </w:tblCellMar>
        </w:tblPrEx>
        <w:trPr>
          <w:trHeight w:val="840" w:hRule="atLeast"/>
        </w:trPr>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1ED96144">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3C481320">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6D28CE25">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048A4A5A">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07384179">
            <w:pPr>
              <w:widowControl/>
              <w:kinsoku w:val="0"/>
              <w:autoSpaceDE w:val="0"/>
              <w:autoSpaceDN w:val="0"/>
              <w:adjustRightInd w:val="0"/>
              <w:snapToGrid w:val="0"/>
              <w:jc w:val="center"/>
              <w:textAlignment w:val="baseline"/>
              <w:rPr>
                <w:rFonts w:hint="default" w:ascii="Times New Roman" w:hAnsi="Times New Roman" w:eastAsia="Arial" w:cs="Times New Roman"/>
                <w:snapToGrid w:val="0"/>
                <w:color w:val="000000"/>
                <w:kern w:val="0"/>
                <w:sz w:val="22"/>
                <w:lang w:eastAsia="en-US"/>
              </w:rPr>
            </w:pPr>
          </w:p>
        </w:tc>
      </w:tr>
      <w:tr w14:paraId="661705E5">
        <w:tblPrEx>
          <w:tblCellMar>
            <w:top w:w="0" w:type="dxa"/>
            <w:left w:w="108" w:type="dxa"/>
            <w:bottom w:w="0" w:type="dxa"/>
            <w:right w:w="108" w:type="dxa"/>
          </w:tblCellMar>
        </w:tblPrEx>
        <w:trPr>
          <w:trHeight w:val="1000" w:hRule="atLeast"/>
        </w:trPr>
        <w:tc>
          <w:tcPr>
            <w:tcW w:w="16200" w:type="dxa"/>
            <w:gridSpan w:val="20"/>
            <w:tcBorders>
              <w:top w:val="single" w:color="000000" w:sz="4" w:space="0"/>
              <w:left w:val="single" w:color="000000" w:sz="4" w:space="0"/>
              <w:bottom w:val="single" w:color="000000" w:sz="4" w:space="0"/>
              <w:right w:val="single" w:color="000000" w:sz="4" w:space="0"/>
            </w:tcBorders>
            <w:noWrap w:val="0"/>
            <w:vAlign w:val="center"/>
          </w:tcPr>
          <w:p w14:paraId="17AEDDDF">
            <w:pPr>
              <w:widowControl/>
              <w:kinsoku w:val="0"/>
              <w:autoSpaceDE w:val="0"/>
              <w:autoSpaceDN w:val="0"/>
              <w:adjustRightInd w:val="0"/>
              <w:snapToGrid w:val="0"/>
              <w:jc w:val="left"/>
              <w:textAlignment w:val="center"/>
              <w:rPr>
                <w:rFonts w:hint="default" w:ascii="Times New Roman" w:hAnsi="Times New Roman" w:cs="Times New Roman"/>
                <w:snapToGrid w:val="0"/>
                <w:color w:val="000000"/>
                <w:kern w:val="0"/>
                <w:sz w:val="18"/>
                <w:szCs w:val="18"/>
              </w:rPr>
            </w:pPr>
            <w:r>
              <w:rPr>
                <w:rFonts w:hint="default" w:ascii="Times New Roman" w:hAnsi="Times New Roman" w:cs="Times New Roman"/>
                <w:snapToGrid w:val="0"/>
                <w:color w:val="000000"/>
                <w:kern w:val="0"/>
                <w:sz w:val="18"/>
                <w:szCs w:val="18"/>
                <w:lang w:bidi="ar"/>
              </w:rPr>
              <w:t>备注：1. “推动职能部门整改问题情况”“纪检监察机关监督执纪情况”“综合成效”相关指标，均填报省直层面有关数据，不含地市。2. “问题表现”,填报该项目的突出问题及具体表现。3. “亮点特色品牌”,填报省直部门及派驻机构有关情况，不含地市。4. “短板弱项问题”,填报工作推进的有关情况。</w:t>
            </w:r>
          </w:p>
        </w:tc>
      </w:tr>
      <w:tr w14:paraId="02A5C068">
        <w:tblPrEx>
          <w:tblCellMar>
            <w:top w:w="0" w:type="dxa"/>
            <w:left w:w="108" w:type="dxa"/>
            <w:bottom w:w="0" w:type="dxa"/>
            <w:right w:w="108" w:type="dxa"/>
          </w:tblCellMar>
        </w:tblPrEx>
        <w:trPr>
          <w:trHeight w:val="420" w:hRule="atLeast"/>
        </w:trPr>
        <w:tc>
          <w:tcPr>
            <w:tcW w:w="16200" w:type="dxa"/>
            <w:gridSpan w:val="20"/>
            <w:tcBorders>
              <w:top w:val="nil"/>
              <w:left w:val="nil"/>
              <w:bottom w:val="nil"/>
              <w:right w:val="nil"/>
            </w:tcBorders>
            <w:noWrap w:val="0"/>
            <w:vAlign w:val="top"/>
          </w:tcPr>
          <w:p w14:paraId="7AB17512">
            <w:pPr>
              <w:widowControl/>
              <w:kinsoku w:val="0"/>
              <w:autoSpaceDE w:val="0"/>
              <w:autoSpaceDN w:val="0"/>
              <w:adjustRightInd w:val="0"/>
              <w:snapToGrid w:val="0"/>
              <w:jc w:val="left"/>
              <w:textAlignment w:val="top"/>
              <w:rPr>
                <w:rFonts w:hint="default" w:ascii="Times New Roman" w:hAnsi="Times New Roman" w:eastAsia="Arial" w:cs="Times New Roman"/>
                <w:snapToGrid w:val="0"/>
                <w:color w:val="000000"/>
                <w:kern w:val="0"/>
                <w:sz w:val="18"/>
                <w:szCs w:val="18"/>
                <w:lang w:eastAsia="en-US"/>
              </w:rPr>
            </w:pPr>
            <w:r>
              <w:rPr>
                <w:rFonts w:hint="default" w:ascii="Times New Roman" w:hAnsi="Times New Roman" w:cs="Times New Roman"/>
                <w:snapToGrid w:val="0"/>
                <w:color w:val="000000"/>
                <w:kern w:val="0"/>
                <w:sz w:val="18"/>
                <w:szCs w:val="18"/>
                <w:lang w:bidi="ar"/>
              </w:rPr>
              <w:t>填表人：                                                         联系电话：</w:t>
            </w:r>
          </w:p>
        </w:tc>
      </w:tr>
    </w:tbl>
    <w:p w14:paraId="6806EA7D">
      <w:pPr>
        <w:spacing w:line="560" w:lineRule="exact"/>
        <w:ind w:firstLine="640" w:firstLineChars="200"/>
        <w:rPr>
          <w:rFonts w:hint="default" w:ascii="Times New Roman" w:hAnsi="Times New Roman" w:eastAsia="仿宋_GB2312" w:cs="Times New Roman"/>
          <w:sz w:val="32"/>
          <w:szCs w:val="32"/>
          <w:lang w:eastAsia="en-US"/>
        </w:rPr>
        <w:sectPr>
          <w:pgSz w:w="16838" w:h="11906" w:orient="landscape"/>
          <w:pgMar w:top="850" w:right="283" w:bottom="1417" w:left="283" w:header="851" w:footer="992" w:gutter="0"/>
          <w:pgNumType w:fmt="decimal"/>
          <w:cols w:space="720" w:num="1"/>
          <w:docGrid w:type="lines" w:linePitch="312" w:charSpace="0"/>
        </w:sectPr>
      </w:pPr>
    </w:p>
    <w:p w14:paraId="5E1E0481">
      <w:pPr>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3</w:t>
      </w:r>
    </w:p>
    <w:tbl>
      <w:tblPr>
        <w:tblStyle w:val="10"/>
        <w:tblW w:w="15060" w:type="dxa"/>
        <w:tblInd w:w="93" w:type="dxa"/>
        <w:tblLayout w:type="autofit"/>
        <w:tblCellMar>
          <w:top w:w="0" w:type="dxa"/>
          <w:left w:w="108" w:type="dxa"/>
          <w:bottom w:w="0" w:type="dxa"/>
          <w:right w:w="108" w:type="dxa"/>
        </w:tblCellMar>
      </w:tblPr>
      <w:tblGrid>
        <w:gridCol w:w="1080"/>
        <w:gridCol w:w="1740"/>
        <w:gridCol w:w="4125"/>
        <w:gridCol w:w="5670"/>
        <w:gridCol w:w="2445"/>
      </w:tblGrid>
      <w:tr w14:paraId="0CD601CE">
        <w:tblPrEx>
          <w:tblCellMar>
            <w:top w:w="0" w:type="dxa"/>
            <w:left w:w="108" w:type="dxa"/>
            <w:bottom w:w="0" w:type="dxa"/>
            <w:right w:w="108" w:type="dxa"/>
          </w:tblCellMar>
        </w:tblPrEx>
        <w:trPr>
          <w:trHeight w:val="390" w:hRule="atLeast"/>
        </w:trPr>
        <w:tc>
          <w:tcPr>
            <w:tcW w:w="15060" w:type="dxa"/>
            <w:gridSpan w:val="5"/>
            <w:tcBorders>
              <w:top w:val="nil"/>
              <w:left w:val="nil"/>
              <w:bottom w:val="nil"/>
              <w:right w:val="nil"/>
            </w:tcBorders>
            <w:noWrap w:val="0"/>
            <w:vAlign w:val="center"/>
          </w:tcPr>
          <w:p w14:paraId="57DC705C">
            <w:pPr>
              <w:widowControl/>
              <w:kinsoku w:val="0"/>
              <w:autoSpaceDE w:val="0"/>
              <w:autoSpaceDN w:val="0"/>
              <w:adjustRightInd w:val="0"/>
              <w:snapToGrid w:val="0"/>
              <w:jc w:val="center"/>
              <w:textAlignment w:val="center"/>
              <w:rPr>
                <w:rFonts w:hint="default" w:ascii="Times New Roman" w:hAnsi="Times New Roman" w:eastAsia="方正小标宋简体" w:cs="Times New Roman"/>
                <w:snapToGrid w:val="0"/>
                <w:color w:val="000000"/>
                <w:kern w:val="0"/>
                <w:sz w:val="28"/>
                <w:szCs w:val="28"/>
              </w:rPr>
            </w:pPr>
            <w:r>
              <w:rPr>
                <w:rFonts w:hint="default" w:ascii="Times New Roman" w:hAnsi="Times New Roman" w:eastAsia="方正小标宋简体" w:cs="Times New Roman"/>
                <w:snapToGrid w:val="0"/>
                <w:color w:val="000000"/>
                <w:kern w:val="0"/>
                <w:sz w:val="36"/>
                <w:szCs w:val="36"/>
                <w:lang w:bidi="ar"/>
              </w:rPr>
              <w:t>专项整治的项目计划表</w:t>
            </w:r>
          </w:p>
        </w:tc>
      </w:tr>
      <w:tr w14:paraId="6D3FEE73">
        <w:tblPrEx>
          <w:tblCellMar>
            <w:top w:w="0" w:type="dxa"/>
            <w:left w:w="108" w:type="dxa"/>
            <w:bottom w:w="0" w:type="dxa"/>
            <w:right w:w="108" w:type="dxa"/>
          </w:tblCellMar>
        </w:tblPrEx>
        <w:trPr>
          <w:trHeight w:val="285" w:hRule="atLeast"/>
        </w:trPr>
        <w:tc>
          <w:tcPr>
            <w:tcW w:w="15060" w:type="dxa"/>
            <w:gridSpan w:val="5"/>
            <w:tcBorders>
              <w:top w:val="nil"/>
              <w:left w:val="nil"/>
              <w:bottom w:val="nil"/>
              <w:right w:val="nil"/>
            </w:tcBorders>
            <w:noWrap w:val="0"/>
            <w:vAlign w:val="center"/>
          </w:tcPr>
          <w:p w14:paraId="4F03FF8F">
            <w:pPr>
              <w:widowControl/>
              <w:kinsoku w:val="0"/>
              <w:autoSpaceDE w:val="0"/>
              <w:autoSpaceDN w:val="0"/>
              <w:adjustRightInd w:val="0"/>
              <w:snapToGrid w:val="0"/>
              <w:jc w:val="left"/>
              <w:textAlignment w:val="baseline"/>
              <w:rPr>
                <w:rFonts w:hint="default" w:ascii="Times New Roman" w:hAnsi="Times New Roman" w:eastAsia="Arial" w:cs="Times New Roman"/>
                <w:b/>
                <w:bCs/>
                <w:snapToGrid w:val="0"/>
                <w:color w:val="000000"/>
                <w:kern w:val="0"/>
                <w:sz w:val="24"/>
              </w:rPr>
            </w:pPr>
          </w:p>
        </w:tc>
      </w:tr>
      <w:tr w14:paraId="4CC570FF">
        <w:tblPrEx>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CB4E60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整治项目名称</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4F0D8C0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年度目标任务</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3488DF9D">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重点整治内容</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65CE0C9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工作措施</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1690AFEF">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预期成效</w:t>
            </w:r>
          </w:p>
        </w:tc>
      </w:tr>
      <w:tr w14:paraId="674D63AD">
        <w:tblPrEx>
          <w:tblCellMar>
            <w:top w:w="0" w:type="dxa"/>
            <w:left w:w="108" w:type="dxa"/>
            <w:bottom w:w="0" w:type="dxa"/>
            <w:right w:w="108" w:type="dxa"/>
          </w:tblCellMar>
        </w:tblPrEx>
        <w:trPr>
          <w:trHeight w:val="237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D3BB59A">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违规出借资质、资质挂靠</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234B8B3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加大“出借资质供他人投标”违法违规行为查处力度，不定期向社会公布典型案例，遏制违规行为，规范市场秩序。</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408CEBF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1.企业或个人违规出借、出租资质证书其他企业承揽工程。</w:t>
            </w:r>
          </w:p>
          <w:p w14:paraId="2E45DED6">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2.违规借用他人资质进行投标活动。</w:t>
            </w:r>
          </w:p>
          <w:p w14:paraId="51811C64">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3.空壳公司参与招投标。</w:t>
            </w:r>
          </w:p>
          <w:p w14:paraId="78E64D92">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4.无资质挂靠、低资质挂靠高资质。</w:t>
            </w:r>
          </w:p>
          <w:p w14:paraId="0DF8FFF9">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5.资质挂靠企业与被挂靠企业之间的利益输送行为。</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1707BF37">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1.加强问题线索收集和开展自查自纠，形成自查自纠报告。</w:t>
            </w:r>
          </w:p>
          <w:p w14:paraId="49419D5C">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2.加强对违规出借资质和挂靠资质进行常态化检查和不定期抽查，加大违法违规的查处力度。</w:t>
            </w:r>
          </w:p>
          <w:p w14:paraId="67AF2507">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3.建立企业和个人信用档案，将违规出借资质和挂靠资质等行为记录在案，并向社会公开曝光。</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703644AE">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遏制违规出借资质、资质挂靠行为，完善长效监督机制，规范市场秩序，对专项整治发现的违规行为进行处理。</w:t>
            </w:r>
          </w:p>
        </w:tc>
      </w:tr>
      <w:tr w14:paraId="63ABA01F">
        <w:tblPrEx>
          <w:tblCellMar>
            <w:top w:w="0" w:type="dxa"/>
            <w:left w:w="108" w:type="dxa"/>
            <w:bottom w:w="0" w:type="dxa"/>
            <w:right w:w="108" w:type="dxa"/>
          </w:tblCellMar>
        </w:tblPrEx>
        <w:trPr>
          <w:trHeight w:val="9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8F1D98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工程违法分包、转包</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15459112">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切实遏制工程违法转包分包的行为，保证中标人的履约能力。</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3B99B0D9">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1.承包单位将工程整体转包给其他单位或个人。</w:t>
            </w:r>
          </w:p>
          <w:p w14:paraId="5C3BDE20">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2.以劳务分包之名行违法分包之实。</w:t>
            </w:r>
          </w:p>
          <w:p w14:paraId="1EE08BD6">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3.分包单位再次转包工程。</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8F7606F">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1.不定期组织从业单位相关人员参加培训，了解违法分包转包行为的法律后果，提高法律意识。</w:t>
            </w:r>
          </w:p>
          <w:p w14:paraId="697F7F0F">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2.开展市场主体“双随机、一公开”抽查，对发现的违法违规行为予以严厉处罚。</w:t>
            </w:r>
          </w:p>
          <w:p w14:paraId="44E65BFE">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3.依法依规处理关于违法分包、转包的举报投诉，公布一批违法违规行为典型案例，形成警示震慑作用。</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6B390226">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1.全面遏制工程建设项目违法分包转包现象。</w:t>
            </w:r>
          </w:p>
          <w:p w14:paraId="665D44D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2.规范工程分包转包流程，建立全过程监管体系。</w:t>
            </w:r>
          </w:p>
          <w:p w14:paraId="3A333C16">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3.对整治活动中发现的违规行为进行处理。</w:t>
            </w:r>
          </w:p>
        </w:tc>
      </w:tr>
      <w:tr w14:paraId="1CE12C33">
        <w:tblPrEx>
          <w:tblCellMar>
            <w:top w:w="0" w:type="dxa"/>
            <w:left w:w="108" w:type="dxa"/>
            <w:bottom w:w="0" w:type="dxa"/>
            <w:right w:w="108" w:type="dxa"/>
          </w:tblCellMar>
        </w:tblPrEx>
        <w:trPr>
          <w:trHeight w:val="269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76E067A">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eastAsia="en-US" w:bidi="ar"/>
              </w:rPr>
            </w:pPr>
            <w:r>
              <w:rPr>
                <w:rFonts w:hint="default" w:ascii="Times New Roman" w:hAnsi="Times New Roman" w:eastAsia="宋体" w:cs="Times New Roman"/>
                <w:snapToGrid w:val="0"/>
                <w:color w:val="000000"/>
                <w:kern w:val="0"/>
                <w:sz w:val="20"/>
                <w:szCs w:val="20"/>
                <w:lang w:bidi="ar"/>
              </w:rPr>
              <w:t>工程欠款欠薪</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73DC2FD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夯实防欠治欠责任，努力实现在建项目防欠治欠长效机制全覆盖。</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1192FDA9">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1.建设单位拖欠施工单位工程款，导致施工单位无力支付农民工工资。</w:t>
            </w:r>
          </w:p>
          <w:p w14:paraId="0C0E5240">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2.施工单位挪用工程款，未按时足额发放农民工工资。</w:t>
            </w:r>
          </w:p>
          <w:p w14:paraId="207727B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3.工程款支付审批流程繁琐，延误资金拨付。</w:t>
            </w:r>
          </w:p>
          <w:p w14:paraId="40AF62BE">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4.重点整治工资专户、保证金制度等落实不到位。</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25429BE3">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1.举办工程项目法人、招投标监管培训班，强化农民工工资支付安全宣传教育，压实各方责任。</w:t>
            </w:r>
          </w:p>
          <w:p w14:paraId="2119ADAD">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2.将治理欠薪纳入市级督查、“双随机、一公开”抽</w:t>
            </w:r>
            <w:r>
              <w:rPr>
                <w:rFonts w:hint="default" w:ascii="Times New Roman" w:hAnsi="Times New Roman" w:eastAsia="宋体" w:cs="Times New Roman"/>
                <w:snapToGrid w:val="0"/>
                <w:color w:val="000000"/>
                <w:kern w:val="0"/>
                <w:sz w:val="20"/>
                <w:szCs w:val="20"/>
                <w:lang w:bidi="ar"/>
              </w:rPr>
              <w:br w:type="textWrapping"/>
            </w:r>
            <w:r>
              <w:rPr>
                <w:rFonts w:hint="default" w:ascii="Times New Roman" w:hAnsi="Times New Roman" w:eastAsia="宋体" w:cs="Times New Roman"/>
                <w:snapToGrid w:val="0"/>
                <w:color w:val="000000"/>
                <w:kern w:val="0"/>
                <w:sz w:val="20"/>
                <w:szCs w:val="20"/>
                <w:lang w:bidi="ar"/>
              </w:rPr>
              <w:t>查，抽查项目制度落实情况。</w:t>
            </w:r>
          </w:p>
          <w:p w14:paraId="736CC94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3.开展治理欠薪专项行动，排查欠薪隐患，督促闭环整改。</w:t>
            </w:r>
          </w:p>
          <w:p w14:paraId="73FE4710">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4.配合人社部门，处理农民工工资专用账户、工资保证金等制度落实不到位问题及欠薪投诉信访，依法依规处理欠款投诉问题。</w:t>
            </w:r>
          </w:p>
          <w:p w14:paraId="7EF62F72">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5.对发生欠款行为的建设单位，重点审查施工许可办理。对恶意拖欠工程款的，列入交通建设市场主体“黑名单”管理。</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41B521E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1.推动实现工程款拖欠和农民工欠薪问题治理。</w:t>
            </w:r>
          </w:p>
          <w:p w14:paraId="37221CC4">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2.建立工程款支付和农民工工资保障长效机制。</w:t>
            </w:r>
          </w:p>
          <w:p w14:paraId="1849492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3.规范工程计量支付及农民工工资管理行为，对整治活动中发现的违规行为进行处理。</w:t>
            </w:r>
          </w:p>
        </w:tc>
      </w:tr>
      <w:tr w14:paraId="71B01757">
        <w:tblPrEx>
          <w:tblCellMar>
            <w:top w:w="0" w:type="dxa"/>
            <w:left w:w="108" w:type="dxa"/>
            <w:bottom w:w="0" w:type="dxa"/>
            <w:right w:w="108" w:type="dxa"/>
          </w:tblCellMar>
        </w:tblPrEx>
        <w:trPr>
          <w:trHeight w:val="1755"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E47C8D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规范招标代理机构行为</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70F3FEE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加强对招标代理机构的日常监管，规范招标代理机构行为。</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5FB0F58D">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1.招标代理机构违规操作，如在招标文件中设置不合理条件排斥限制潜在投标人、串标围标、泄露标底、操纵评标结果等。</w:t>
            </w:r>
          </w:p>
          <w:p w14:paraId="27AF63A0">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2.恶意竞争，以不合理低价或其他不正当手段获取代理业务。</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0F3169B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开展交通工程领域招标代理机构人员信息核查、规范化考评以及信用评价，对招标代理机构实施差异化监管，支持招标人择优信用好的招标代理机构。</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7ECC19D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规范招标代理机构行为，进一步提升招标代理机构服务水平，对专项整治发现的违规行为进行处理。</w:t>
            </w:r>
          </w:p>
        </w:tc>
      </w:tr>
      <w:tr w14:paraId="5154A63D">
        <w:tblPrEx>
          <w:tblCellMar>
            <w:top w:w="0" w:type="dxa"/>
            <w:left w:w="108" w:type="dxa"/>
            <w:bottom w:w="0" w:type="dxa"/>
            <w:right w:w="108" w:type="dxa"/>
          </w:tblCellMar>
        </w:tblPrEx>
        <w:trPr>
          <w:trHeight w:val="30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4DBD02">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狠抓原材料和产品验收把关工作</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6C3FA1C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交通工程所使用的原材料和产品合格率持续提升，杜绝因验收环节疏漏而导致的不合格材料或产品进入工程建设现场，从源头保障工程质量，减少因质量问题引发的工程返工、事故隐患等情况。</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1A67960A">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1.原材料质量不合格，进入交通建设市场。</w:t>
            </w:r>
          </w:p>
          <w:p w14:paraId="18B01A4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2.抽样检测不规范，结果判定不准确等。</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A42FA9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p>
          <w:p w14:paraId="2B25D9B5">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1.严格抽样检测，督促各参建单位落实抽检频率，规范抽检流程。</w:t>
            </w:r>
          </w:p>
          <w:p w14:paraId="31D1BCD4">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2.加大随机抽查力度，加大项目进场原材料随机抽力度，排查不合格原材料混入交通建设市场。</w:t>
            </w:r>
          </w:p>
          <w:p w14:paraId="36CD1601">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3.强化违规处理，对违法违规企业，依据法规从严处罚，同时开展信用惩戒，行业通报。</w:t>
            </w:r>
          </w:p>
          <w:p w14:paraId="276D3EA2">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0BA79A5C">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1.减少因材料或产品质量问题引发的工程病害和安全事故，延长工程使用寿命，促进工程质量显著提升。</w:t>
            </w:r>
          </w:p>
          <w:p w14:paraId="1471603B">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2.通过对违规行为的严厉打击和对诚信企业的激励，引导行业内企业自觉遵守质量验收相关规定，推动行业诚信体系逐步完善。</w:t>
            </w:r>
          </w:p>
        </w:tc>
      </w:tr>
      <w:tr w14:paraId="16BF2339">
        <w:tblPrEx>
          <w:tblCellMar>
            <w:top w:w="0" w:type="dxa"/>
            <w:left w:w="108" w:type="dxa"/>
            <w:bottom w:w="0" w:type="dxa"/>
            <w:right w:w="108" w:type="dxa"/>
          </w:tblCellMar>
        </w:tblPrEx>
        <w:trPr>
          <w:trHeight w:val="304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53E5E1B">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整治招标人肢解工程规避招标问题</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14:paraId="51FDD2FC">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规范工程招标流程，遏制招标人肢解工程规避招标行为，提升工程招标合法性与公正性，保障工程项目顺利实施。</w:t>
            </w:r>
          </w:p>
        </w:tc>
        <w:tc>
          <w:tcPr>
            <w:tcW w:w="4125" w:type="dxa"/>
            <w:tcBorders>
              <w:top w:val="single" w:color="000000" w:sz="4" w:space="0"/>
              <w:left w:val="single" w:color="000000" w:sz="4" w:space="0"/>
              <w:bottom w:val="single" w:color="000000" w:sz="4" w:space="0"/>
              <w:right w:val="single" w:color="000000" w:sz="4" w:space="0"/>
            </w:tcBorders>
            <w:noWrap w:val="0"/>
            <w:vAlign w:val="center"/>
          </w:tcPr>
          <w:p w14:paraId="4BAEFC3E">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1.全面排查工程项目，检查是否存在将完整工程拆分情况。</w:t>
            </w:r>
          </w:p>
          <w:p w14:paraId="7354417E">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2.深入审查招标文件、合同条款，发现通过不合理拆分规避招标规定条款。</w:t>
            </w:r>
          </w:p>
          <w:p w14:paraId="68EE748D">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3.挖掘肢解工程后暗箱操作、指定施工方等问题线索。</w:t>
            </w:r>
          </w:p>
        </w:tc>
        <w:tc>
          <w:tcPr>
            <w:tcW w:w="5670" w:type="dxa"/>
            <w:tcBorders>
              <w:top w:val="single" w:color="000000" w:sz="4" w:space="0"/>
              <w:left w:val="single" w:color="000000" w:sz="4" w:space="0"/>
              <w:bottom w:val="single" w:color="000000" w:sz="4" w:space="0"/>
              <w:right w:val="single" w:color="000000" w:sz="4" w:space="0"/>
            </w:tcBorders>
            <w:noWrap w:val="0"/>
            <w:vAlign w:val="center"/>
          </w:tcPr>
          <w:p w14:paraId="5B32385F">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1.建立健全工程招标监管制度，明确界定工程拆分标准与审批流程，堵塞制度漏洞。</w:t>
            </w:r>
          </w:p>
          <w:p w14:paraId="1D7B2D76">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2.加强招标环节审核，安排专人严格审查项目申报、招标文件，发现异常拆分及时处理。</w:t>
            </w:r>
          </w:p>
          <w:p w14:paraId="166ECC78">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3.对在建工程全面检查，对违规项目责令整改、处罚责任方，公开曝光典型案例。</w:t>
            </w:r>
          </w:p>
        </w:tc>
        <w:tc>
          <w:tcPr>
            <w:tcW w:w="2445" w:type="dxa"/>
            <w:tcBorders>
              <w:top w:val="single" w:color="000000" w:sz="4" w:space="0"/>
              <w:left w:val="single" w:color="000000" w:sz="4" w:space="0"/>
              <w:bottom w:val="single" w:color="000000" w:sz="4" w:space="0"/>
              <w:right w:val="single" w:color="000000" w:sz="4" w:space="0"/>
            </w:tcBorders>
            <w:noWrap w:val="0"/>
            <w:vAlign w:val="center"/>
          </w:tcPr>
          <w:p w14:paraId="534B8CAD">
            <w:pPr>
              <w:widowControl/>
              <w:kinsoku w:val="0"/>
              <w:autoSpaceDE w:val="0"/>
              <w:autoSpaceDN w:val="0"/>
              <w:adjustRightInd w:val="0"/>
              <w:snapToGrid w:val="0"/>
              <w:jc w:val="left"/>
              <w:textAlignment w:val="center"/>
              <w:rPr>
                <w:rFonts w:hint="default" w:ascii="Times New Roman" w:hAnsi="Times New Roman" w:eastAsia="宋体" w:cs="Times New Roman"/>
                <w:snapToGrid w:val="0"/>
                <w:color w:val="000000"/>
                <w:kern w:val="0"/>
                <w:sz w:val="20"/>
                <w:szCs w:val="20"/>
                <w:lang w:bidi="ar"/>
              </w:rPr>
            </w:pPr>
            <w:r>
              <w:rPr>
                <w:rFonts w:hint="default" w:ascii="Times New Roman" w:hAnsi="Times New Roman" w:eastAsia="宋体" w:cs="Times New Roman"/>
                <w:snapToGrid w:val="0"/>
                <w:color w:val="000000"/>
                <w:kern w:val="0"/>
                <w:sz w:val="20"/>
                <w:szCs w:val="20"/>
                <w:lang w:bidi="ar"/>
              </w:rPr>
              <w:t>工程招标合规性显著提高，肢解工程规避招标现象大幅减少，维护市场秩序。</w:t>
            </w:r>
          </w:p>
        </w:tc>
      </w:tr>
    </w:tbl>
    <w:p w14:paraId="4FE4A68F">
      <w:pPr>
        <w:rPr>
          <w:rFonts w:hint="default" w:ascii="Times New Roman" w:hAnsi="Times New Roman" w:cs="Times New Roman"/>
        </w:rPr>
        <w:sectPr>
          <w:pgSz w:w="16838" w:h="11906" w:orient="landscape"/>
          <w:pgMar w:top="1582" w:right="1134" w:bottom="1440" w:left="1134" w:header="0" w:footer="1134" w:gutter="0"/>
          <w:pgNumType w:fmt="decimal"/>
          <w:cols w:space="0" w:num="1"/>
          <w:rtlGutter w:val="0"/>
          <w:docGrid w:linePitch="0" w:charSpace="0"/>
        </w:sectPr>
      </w:pPr>
    </w:p>
    <w:p w14:paraId="12399B74">
      <w:pPr>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en-US"/>
        </w:rPr>
        <w:t>附件</w:t>
      </w:r>
      <w:r>
        <w:rPr>
          <w:rFonts w:hint="default" w:ascii="Times New Roman" w:hAnsi="Times New Roman" w:eastAsia="黑体" w:cs="Times New Roman"/>
          <w:sz w:val="32"/>
          <w:szCs w:val="32"/>
          <w:lang w:val="en-US" w:eastAsia="zh-CN"/>
        </w:rPr>
        <w:t>4</w:t>
      </w:r>
    </w:p>
    <w:tbl>
      <w:tblPr>
        <w:tblStyle w:val="10"/>
        <w:tblW w:w="13564" w:type="dxa"/>
        <w:jc w:val="center"/>
        <w:tblLayout w:type="autofit"/>
        <w:tblCellMar>
          <w:top w:w="0" w:type="dxa"/>
          <w:left w:w="108" w:type="dxa"/>
          <w:bottom w:w="0" w:type="dxa"/>
          <w:right w:w="108" w:type="dxa"/>
        </w:tblCellMar>
      </w:tblPr>
      <w:tblGrid>
        <w:gridCol w:w="1080"/>
        <w:gridCol w:w="2520"/>
        <w:gridCol w:w="6427"/>
        <w:gridCol w:w="3537"/>
      </w:tblGrid>
      <w:tr w14:paraId="0630F4D7">
        <w:tblPrEx>
          <w:tblCellMar>
            <w:top w:w="0" w:type="dxa"/>
            <w:left w:w="108" w:type="dxa"/>
            <w:bottom w:w="0" w:type="dxa"/>
            <w:right w:w="108" w:type="dxa"/>
          </w:tblCellMar>
        </w:tblPrEx>
        <w:trPr>
          <w:trHeight w:val="800" w:hRule="atLeast"/>
          <w:jc w:val="center"/>
        </w:trPr>
        <w:tc>
          <w:tcPr>
            <w:tcW w:w="13564" w:type="dxa"/>
            <w:gridSpan w:val="4"/>
            <w:tcBorders>
              <w:top w:val="nil"/>
              <w:left w:val="nil"/>
              <w:bottom w:val="nil"/>
              <w:right w:val="nil"/>
            </w:tcBorders>
            <w:noWrap w:val="0"/>
            <w:vAlign w:val="center"/>
          </w:tcPr>
          <w:p w14:paraId="606A60B0">
            <w:pPr>
              <w:widowControl/>
              <w:kinsoku w:val="0"/>
              <w:autoSpaceDE w:val="0"/>
              <w:autoSpaceDN w:val="0"/>
              <w:adjustRightInd w:val="0"/>
              <w:snapToGrid w:val="0"/>
              <w:jc w:val="center"/>
              <w:textAlignment w:val="center"/>
              <w:rPr>
                <w:rFonts w:hint="default" w:ascii="Times New Roman" w:hAnsi="Times New Roman" w:eastAsia="方正公文小标宋" w:cs="Times New Roman"/>
                <w:b w:val="0"/>
                <w:bCs w:val="0"/>
                <w:snapToGrid w:val="0"/>
                <w:color w:val="000000"/>
                <w:kern w:val="0"/>
                <w:sz w:val="32"/>
                <w:szCs w:val="32"/>
              </w:rPr>
            </w:pPr>
            <w:r>
              <w:rPr>
                <w:rFonts w:hint="default" w:ascii="Times New Roman" w:hAnsi="Times New Roman" w:eastAsia="方正公文小标宋" w:cs="Times New Roman"/>
                <w:b w:val="0"/>
                <w:bCs w:val="0"/>
                <w:snapToGrid w:val="0"/>
                <w:color w:val="000000"/>
                <w:kern w:val="0"/>
                <w:sz w:val="32"/>
                <w:szCs w:val="32"/>
                <w:lang w:bidi="ar"/>
              </w:rPr>
              <w:t>深化工程领域招投标</w:t>
            </w:r>
            <w:bookmarkStart w:id="0" w:name="_GoBack"/>
            <w:bookmarkEnd w:id="0"/>
            <w:r>
              <w:rPr>
                <w:rFonts w:hint="default" w:ascii="Times New Roman" w:hAnsi="Times New Roman" w:eastAsia="方正公文小标宋" w:cs="Times New Roman"/>
                <w:b w:val="0"/>
                <w:bCs w:val="0"/>
                <w:snapToGrid w:val="0"/>
                <w:color w:val="000000"/>
                <w:kern w:val="0"/>
                <w:sz w:val="32"/>
                <w:szCs w:val="32"/>
                <w:lang w:bidi="ar"/>
              </w:rPr>
              <w:t>不规范影响营商环境突出问题专项整治月度细化表</w:t>
            </w:r>
          </w:p>
        </w:tc>
      </w:tr>
      <w:tr w14:paraId="0CBFFC89">
        <w:tblPrEx>
          <w:tblCellMar>
            <w:top w:w="0" w:type="dxa"/>
            <w:left w:w="108" w:type="dxa"/>
            <w:bottom w:w="0" w:type="dxa"/>
            <w:right w:w="108" w:type="dxa"/>
          </w:tblCellMar>
        </w:tblPrEx>
        <w:trPr>
          <w:trHeight w:val="285" w:hRule="atLeast"/>
          <w:jc w:val="center"/>
        </w:trPr>
        <w:tc>
          <w:tcPr>
            <w:tcW w:w="1080" w:type="dxa"/>
            <w:tcBorders>
              <w:top w:val="nil"/>
              <w:left w:val="nil"/>
              <w:bottom w:val="nil"/>
              <w:right w:val="nil"/>
            </w:tcBorders>
            <w:noWrap w:val="0"/>
            <w:vAlign w:val="top"/>
          </w:tcPr>
          <w:p w14:paraId="2C2D2A8D">
            <w:pPr>
              <w:widowControl/>
              <w:kinsoku w:val="0"/>
              <w:autoSpaceDE w:val="0"/>
              <w:autoSpaceDN w:val="0"/>
              <w:adjustRightInd w:val="0"/>
              <w:snapToGrid w:val="0"/>
              <w:jc w:val="left"/>
              <w:textAlignment w:val="baseline"/>
              <w:rPr>
                <w:rFonts w:hint="default" w:ascii="Times New Roman" w:hAnsi="Times New Roman" w:eastAsia="Arial" w:cs="Times New Roman"/>
                <w:b/>
                <w:bCs/>
                <w:snapToGrid w:val="0"/>
                <w:color w:val="000000"/>
                <w:kern w:val="0"/>
                <w:sz w:val="22"/>
              </w:rPr>
            </w:pPr>
          </w:p>
        </w:tc>
        <w:tc>
          <w:tcPr>
            <w:tcW w:w="2520" w:type="dxa"/>
            <w:tcBorders>
              <w:top w:val="nil"/>
              <w:left w:val="nil"/>
              <w:bottom w:val="nil"/>
              <w:right w:val="nil"/>
            </w:tcBorders>
            <w:noWrap w:val="0"/>
            <w:vAlign w:val="top"/>
          </w:tcPr>
          <w:p w14:paraId="778DFF76">
            <w:pPr>
              <w:widowControl/>
              <w:kinsoku w:val="0"/>
              <w:autoSpaceDE w:val="0"/>
              <w:autoSpaceDN w:val="0"/>
              <w:adjustRightInd w:val="0"/>
              <w:snapToGrid w:val="0"/>
              <w:jc w:val="left"/>
              <w:textAlignment w:val="baseline"/>
              <w:rPr>
                <w:rFonts w:hint="default" w:ascii="Times New Roman" w:hAnsi="Times New Roman" w:eastAsia="Arial" w:cs="Times New Roman"/>
                <w:b/>
                <w:bCs/>
                <w:snapToGrid w:val="0"/>
                <w:color w:val="000000"/>
                <w:kern w:val="0"/>
                <w:sz w:val="22"/>
              </w:rPr>
            </w:pPr>
          </w:p>
        </w:tc>
        <w:tc>
          <w:tcPr>
            <w:tcW w:w="6427" w:type="dxa"/>
            <w:tcBorders>
              <w:top w:val="nil"/>
              <w:left w:val="nil"/>
              <w:bottom w:val="nil"/>
              <w:right w:val="nil"/>
            </w:tcBorders>
            <w:noWrap w:val="0"/>
            <w:vAlign w:val="top"/>
          </w:tcPr>
          <w:p w14:paraId="1A27AA56">
            <w:pPr>
              <w:widowControl/>
              <w:kinsoku w:val="0"/>
              <w:autoSpaceDE w:val="0"/>
              <w:autoSpaceDN w:val="0"/>
              <w:adjustRightInd w:val="0"/>
              <w:snapToGrid w:val="0"/>
              <w:jc w:val="left"/>
              <w:textAlignment w:val="baseline"/>
              <w:rPr>
                <w:rFonts w:hint="default" w:ascii="Times New Roman" w:hAnsi="Times New Roman" w:eastAsia="Arial" w:cs="Times New Roman"/>
                <w:b/>
                <w:bCs/>
                <w:snapToGrid w:val="0"/>
                <w:color w:val="000000"/>
                <w:kern w:val="0"/>
                <w:sz w:val="22"/>
              </w:rPr>
            </w:pPr>
          </w:p>
        </w:tc>
        <w:tc>
          <w:tcPr>
            <w:tcW w:w="3537" w:type="dxa"/>
            <w:tcBorders>
              <w:top w:val="nil"/>
              <w:left w:val="nil"/>
              <w:bottom w:val="nil"/>
              <w:right w:val="nil"/>
            </w:tcBorders>
            <w:noWrap w:val="0"/>
            <w:vAlign w:val="top"/>
          </w:tcPr>
          <w:p w14:paraId="60EE01AC">
            <w:pPr>
              <w:widowControl/>
              <w:kinsoku w:val="0"/>
              <w:autoSpaceDE w:val="0"/>
              <w:autoSpaceDN w:val="0"/>
              <w:adjustRightInd w:val="0"/>
              <w:snapToGrid w:val="0"/>
              <w:jc w:val="left"/>
              <w:textAlignment w:val="baseline"/>
              <w:rPr>
                <w:rFonts w:hint="default" w:ascii="Times New Roman" w:hAnsi="Times New Roman" w:eastAsia="Arial" w:cs="Times New Roman"/>
                <w:b/>
                <w:bCs/>
                <w:snapToGrid w:val="0"/>
                <w:color w:val="000000"/>
                <w:kern w:val="0"/>
                <w:sz w:val="22"/>
              </w:rPr>
            </w:pPr>
          </w:p>
        </w:tc>
      </w:tr>
      <w:tr w14:paraId="21352936">
        <w:tblPrEx>
          <w:tblCellMar>
            <w:top w:w="0" w:type="dxa"/>
            <w:left w:w="108" w:type="dxa"/>
            <w:bottom w:w="0" w:type="dxa"/>
            <w:right w:w="108"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B055120">
            <w:pPr>
              <w:widowControl/>
              <w:kinsoku w:val="0"/>
              <w:autoSpaceDE w:val="0"/>
              <w:autoSpaceDN w:val="0"/>
              <w:adjustRightInd w:val="0"/>
              <w:snapToGrid w:val="0"/>
              <w:jc w:val="center"/>
              <w:textAlignment w:val="center"/>
              <w:rPr>
                <w:rFonts w:hint="default" w:ascii="Times New Roman" w:hAnsi="Times New Roman" w:eastAsia="Arial" w:cs="Times New Roman"/>
                <w:b/>
                <w:bCs/>
                <w:snapToGrid w:val="0"/>
                <w:color w:val="000000"/>
                <w:kern w:val="0"/>
                <w:sz w:val="20"/>
                <w:szCs w:val="20"/>
                <w:lang w:eastAsia="en-US"/>
              </w:rPr>
            </w:pPr>
            <w:r>
              <w:rPr>
                <w:rFonts w:hint="default" w:ascii="Times New Roman" w:hAnsi="Times New Roman" w:cs="Times New Roman"/>
                <w:b/>
                <w:bCs/>
                <w:snapToGrid w:val="0"/>
                <w:color w:val="000000"/>
                <w:kern w:val="0"/>
                <w:sz w:val="20"/>
                <w:szCs w:val="20"/>
                <w:lang w:bidi="ar"/>
              </w:rPr>
              <w:t>时间</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7AFA5AA8">
            <w:pPr>
              <w:widowControl/>
              <w:kinsoku w:val="0"/>
              <w:autoSpaceDE w:val="0"/>
              <w:autoSpaceDN w:val="0"/>
              <w:adjustRightInd w:val="0"/>
              <w:snapToGrid w:val="0"/>
              <w:jc w:val="center"/>
              <w:textAlignment w:val="center"/>
              <w:rPr>
                <w:rFonts w:hint="default" w:ascii="Times New Roman" w:hAnsi="Times New Roman" w:cs="Times New Roman"/>
                <w:b/>
                <w:bCs/>
                <w:snapToGrid w:val="0"/>
                <w:color w:val="000000"/>
                <w:kern w:val="0"/>
                <w:sz w:val="20"/>
                <w:szCs w:val="20"/>
              </w:rPr>
            </w:pPr>
            <w:r>
              <w:rPr>
                <w:rFonts w:hint="default" w:ascii="Times New Roman" w:hAnsi="Times New Roman" w:cs="Times New Roman"/>
                <w:b/>
                <w:bCs/>
                <w:snapToGrid w:val="0"/>
                <w:color w:val="000000"/>
                <w:kern w:val="0"/>
                <w:sz w:val="20"/>
                <w:szCs w:val="20"/>
                <w:lang w:bidi="ar"/>
              </w:rPr>
              <w:t>目标</w:t>
            </w:r>
            <w:r>
              <w:rPr>
                <w:rFonts w:hint="default" w:ascii="Times New Roman" w:hAnsi="Times New Roman" w:cs="Times New Roman"/>
                <w:b/>
                <w:bCs/>
                <w:snapToGrid w:val="0"/>
                <w:color w:val="000000"/>
                <w:kern w:val="0"/>
                <w:sz w:val="20"/>
                <w:szCs w:val="20"/>
                <w:lang w:bidi="ar"/>
              </w:rPr>
              <w:br w:type="textWrapping"/>
            </w:r>
            <w:r>
              <w:rPr>
                <w:rFonts w:hint="default" w:ascii="Times New Roman" w:hAnsi="Times New Roman" w:cs="Times New Roman"/>
                <w:b/>
                <w:bCs/>
                <w:snapToGrid w:val="0"/>
                <w:color w:val="000000"/>
                <w:kern w:val="0"/>
                <w:sz w:val="20"/>
                <w:szCs w:val="20"/>
                <w:lang w:bidi="ar"/>
              </w:rPr>
              <w:t>(按月细化阶段目标)</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6DA5D882">
            <w:pPr>
              <w:widowControl/>
              <w:kinsoku w:val="0"/>
              <w:autoSpaceDE w:val="0"/>
              <w:autoSpaceDN w:val="0"/>
              <w:adjustRightInd w:val="0"/>
              <w:snapToGrid w:val="0"/>
              <w:jc w:val="center"/>
              <w:textAlignment w:val="center"/>
              <w:rPr>
                <w:rFonts w:hint="default" w:ascii="Times New Roman" w:hAnsi="Times New Roman" w:cs="Times New Roman"/>
                <w:b/>
                <w:bCs/>
                <w:snapToGrid w:val="0"/>
                <w:color w:val="000000"/>
                <w:kern w:val="0"/>
                <w:sz w:val="20"/>
                <w:szCs w:val="20"/>
                <w:lang w:eastAsia="en-US"/>
              </w:rPr>
            </w:pPr>
            <w:r>
              <w:rPr>
                <w:rFonts w:hint="default" w:ascii="Times New Roman" w:hAnsi="Times New Roman" w:cs="Times New Roman"/>
                <w:b/>
                <w:bCs/>
                <w:snapToGrid w:val="0"/>
                <w:color w:val="000000"/>
                <w:kern w:val="0"/>
                <w:sz w:val="20"/>
                <w:szCs w:val="20"/>
                <w:lang w:bidi="ar"/>
              </w:rPr>
              <w:t>工作措施</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2F876461">
            <w:pPr>
              <w:widowControl/>
              <w:kinsoku w:val="0"/>
              <w:autoSpaceDE w:val="0"/>
              <w:autoSpaceDN w:val="0"/>
              <w:adjustRightInd w:val="0"/>
              <w:snapToGrid w:val="0"/>
              <w:jc w:val="center"/>
              <w:textAlignment w:val="center"/>
              <w:rPr>
                <w:rFonts w:hint="default" w:ascii="Times New Roman" w:hAnsi="Times New Roman" w:eastAsia="Arial" w:cs="Times New Roman"/>
                <w:b/>
                <w:bCs/>
                <w:snapToGrid w:val="0"/>
                <w:color w:val="000000"/>
                <w:kern w:val="0"/>
                <w:sz w:val="20"/>
                <w:szCs w:val="20"/>
                <w:lang w:eastAsia="en-US"/>
              </w:rPr>
            </w:pPr>
            <w:r>
              <w:rPr>
                <w:rFonts w:hint="default" w:ascii="Times New Roman" w:hAnsi="Times New Roman" w:cs="Times New Roman"/>
                <w:b/>
                <w:bCs/>
                <w:snapToGrid w:val="0"/>
                <w:color w:val="000000"/>
                <w:kern w:val="0"/>
                <w:sz w:val="20"/>
                <w:szCs w:val="20"/>
                <w:lang w:bidi="ar"/>
              </w:rPr>
              <w:t>预期成效</w:t>
            </w:r>
          </w:p>
        </w:tc>
      </w:tr>
      <w:tr w14:paraId="02FD2A3A">
        <w:tblPrEx>
          <w:tblCellMar>
            <w:top w:w="0" w:type="dxa"/>
            <w:left w:w="108" w:type="dxa"/>
            <w:bottom w:w="0" w:type="dxa"/>
            <w:right w:w="108" w:type="dxa"/>
          </w:tblCellMar>
        </w:tblPrEx>
        <w:trPr>
          <w:trHeight w:val="192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4398BF8">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4月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7A30A743">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草拟专项整治工作方案，明确整治任务、时间安排和工作措施，成立专项整治工作专班。收集问题线索，开展自查自纠，动态更新“问题清单台账”。</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45364A78">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1.根据省交通运输厅、市</w:t>
            </w:r>
            <w:r>
              <w:rPr>
                <w:rFonts w:hint="default" w:ascii="Times New Roman" w:hAnsi="Times New Roman" w:cs="Times New Roman" w:eastAsiaTheme="minorEastAsia"/>
                <w:snapToGrid w:val="0"/>
                <w:color w:val="000000"/>
                <w:kern w:val="0"/>
                <w:sz w:val="20"/>
                <w:szCs w:val="20"/>
                <w:lang w:val="en-US" w:eastAsia="zh-CN" w:bidi="ar"/>
              </w:rPr>
              <w:t>交通运输局</w:t>
            </w:r>
            <w:r>
              <w:rPr>
                <w:rFonts w:hint="default" w:ascii="Times New Roman" w:hAnsi="Times New Roman" w:cs="Times New Roman" w:eastAsiaTheme="minorEastAsia"/>
                <w:snapToGrid w:val="0"/>
                <w:color w:val="000000"/>
                <w:kern w:val="0"/>
                <w:sz w:val="20"/>
                <w:szCs w:val="20"/>
                <w:lang w:bidi="ar"/>
              </w:rPr>
              <w:t>工作部署要求，草拟制定我</w:t>
            </w:r>
            <w:r>
              <w:rPr>
                <w:rFonts w:hint="default" w:ascii="Times New Roman" w:hAnsi="Times New Roman" w:cs="Times New Roman" w:eastAsiaTheme="minorEastAsia"/>
                <w:snapToGrid w:val="0"/>
                <w:color w:val="000000"/>
                <w:kern w:val="0"/>
                <w:sz w:val="20"/>
                <w:szCs w:val="20"/>
                <w:lang w:val="en-US" w:eastAsia="zh-CN" w:bidi="ar"/>
              </w:rPr>
              <w:t>县</w:t>
            </w:r>
            <w:r>
              <w:rPr>
                <w:rFonts w:hint="default" w:ascii="Times New Roman" w:hAnsi="Times New Roman" w:cs="Times New Roman" w:eastAsiaTheme="minorEastAsia"/>
                <w:snapToGrid w:val="0"/>
                <w:color w:val="000000"/>
                <w:kern w:val="0"/>
                <w:sz w:val="20"/>
                <w:szCs w:val="20"/>
                <w:lang w:bidi="ar"/>
              </w:rPr>
              <w:t>交通领域专项整治方案，并适时出台。</w:t>
            </w:r>
          </w:p>
          <w:p w14:paraId="43D21A9E">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2.各单位跟进落实，推进整改任务落细落实。</w:t>
            </w:r>
          </w:p>
          <w:p w14:paraId="0650BBBD">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3.通过通过12345便民服务等政务投诉、营商环境督导、公共资源交易电子公共服务平台和电子行政监督平台、专项检查等收集问题线索。</w:t>
            </w:r>
          </w:p>
          <w:p w14:paraId="4B82EDE8">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4.开展自查自纠，动态更新“问题清单台账”。对查证不实的，进行说明；对查证属实的，列入处置，推动整改销号。</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45C96F52">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各单位明确专项整治工作分管领导和联络协调人员，并适时成立工作专班和出台工作方案，确保工作协同联动，运行有序。问题清单台账能实时动态调整，处置更具有针对性、精准性。</w:t>
            </w:r>
          </w:p>
        </w:tc>
      </w:tr>
      <w:tr w14:paraId="4275DDCC">
        <w:tblPrEx>
          <w:tblCellMar>
            <w:top w:w="0" w:type="dxa"/>
            <w:left w:w="108" w:type="dxa"/>
            <w:bottom w:w="0" w:type="dxa"/>
            <w:right w:w="108" w:type="dxa"/>
          </w:tblCellMar>
        </w:tblPrEx>
        <w:trPr>
          <w:trHeight w:val="204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0395EC">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5月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24B5B794">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深入开展集中整改，跟踪和督促整改工作进展。</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6AC0C4B8">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1.开展工程违法转包分包、欠款欠薪等“双随机”抽查，至少覆盖20%在建项目。</w:t>
            </w:r>
          </w:p>
          <w:p w14:paraId="08057E47">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2.加强对违规出借资质和挂靠资质检查，加大违法违规的查处力度。</w:t>
            </w:r>
          </w:p>
          <w:p w14:paraId="3253C56A">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3.建立企业和个人信用档案，将违规出借资质和挂靠资质等行为记录在案，并向社会公开曝光。</w:t>
            </w:r>
          </w:p>
          <w:p w14:paraId="7EA4743F">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lang w:bidi="ar"/>
              </w:rPr>
            </w:pPr>
            <w:r>
              <w:rPr>
                <w:rFonts w:hint="default" w:ascii="Times New Roman" w:hAnsi="Times New Roman" w:cs="Times New Roman" w:eastAsiaTheme="minorEastAsia"/>
                <w:snapToGrid w:val="0"/>
                <w:color w:val="000000"/>
                <w:kern w:val="0"/>
                <w:sz w:val="20"/>
                <w:szCs w:val="20"/>
                <w:lang w:bidi="ar"/>
              </w:rPr>
              <w:t>4.对接人社部门的欠薪相关管理平台，接入相关数据。</w:t>
            </w:r>
          </w:p>
          <w:p w14:paraId="2F48D062">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5.紧盯问题清单台账，对账销号。</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5D060914">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本领域清单问题台账整改到位率达到60%。</w:t>
            </w:r>
          </w:p>
        </w:tc>
      </w:tr>
      <w:tr w14:paraId="79C72E5D">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0F00D1A">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6月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BD4A735">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聚焦整改难题，靶向施策，全力攻坚。</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118B9A1C">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对排查中发现的工程款拖欠的企业进行约谈，对发现的招标代理机构无合同代理等行为，限期整改；对发现违规出借资质、挂靠资质、违法转包分包等行为，依法依规处置。</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465D30A3">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本领域清单问题台账整改到位率达到95%。</w:t>
            </w:r>
          </w:p>
        </w:tc>
      </w:tr>
      <w:tr w14:paraId="24110448">
        <w:tblPrEx>
          <w:tblCellMar>
            <w:top w:w="0" w:type="dxa"/>
            <w:left w:w="108" w:type="dxa"/>
            <w:bottom w:w="0" w:type="dxa"/>
            <w:right w:w="108" w:type="dxa"/>
          </w:tblCellMar>
        </w:tblPrEx>
        <w:trPr>
          <w:trHeight w:val="1487"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EF03012">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7月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5A96EF89">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抓本级带系统，加强对下工作指导，下沉督导。</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1BCC024D">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1.开展专项检查，下沉督导，深入基层 一线调研、排查、处置问题。</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2.对违法转包分包、欠薪高风险项目开展“飞行检查”,责令限期整改。</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3.督办违法转包分包、重大欠薪案件，公布“欠薪黑名单等，形成强力震慑。</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4.加强合同履约进度欠款拨付进度专项检查，加强监测预警。</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4A90B28C">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完成专项检查及调研，各单位对新发现问题研判处置进一步增强，上下贯通、衔接有序的工作机制进一步理顺。</w:t>
            </w:r>
          </w:p>
        </w:tc>
      </w:tr>
      <w:tr w14:paraId="4A805F32">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395F58A">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8月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12D5AEB8">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定期盘点任务清单落实情况，打击一批招投标领域违法犯罪行为、对账销号。</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1FDB5F90">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1.要求招标单位上传合同、付款凭证等关键环节至行业标后监管平台并向在线监管平台推送，由系统自动识别比对异常数据。</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2.打击一批招投标领域违法犯罪行为，总结个案，挖掘类案，汇总形成典型案例。</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6CBCDD38">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处理招投标领域违法违规行为，见人见事、强力震慑。</w:t>
            </w:r>
          </w:p>
        </w:tc>
      </w:tr>
      <w:tr w14:paraId="3291D38D">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1A1D662">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9月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4E35C53D">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继续梳理总结整改工作成效和任务清单落实情况。</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41691F8B">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运用典型案例，配合纪委监委、发改部门开展警示教育，提升监管效能。</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39F89B5C">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有效发挥类案指导作用。</w:t>
            </w:r>
          </w:p>
        </w:tc>
      </w:tr>
      <w:tr w14:paraId="01523E73">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9C52B3D">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10月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694F10CD">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巩固拓展整改成果、防止问题反弹。</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11E3133B">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1.持续开展专项督查。</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2.加强对核查、评价结果的运用，对招标代理机构实施差异化监管，支持招标人自主择优信用好的招标代理机构。</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3.建立核查结果跟踪机制，及时掌握核查进展情况。</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33A72735">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全面完成本领域清单问题台账整改，对需要长期坚持的治理任务，形成常态化治理机制。</w:t>
            </w:r>
          </w:p>
        </w:tc>
      </w:tr>
      <w:tr w14:paraId="572B8B0A">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78762C">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11月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3E1EB055">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检验成效、建言献策，适度宣传。</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08FA783E">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1.梳理治理经验做法，形成专项整治成果，进一步推广应用。</w:t>
            </w:r>
            <w:r>
              <w:rPr>
                <w:rFonts w:hint="default" w:ascii="Times New Roman" w:hAnsi="Times New Roman" w:cs="Times New Roman" w:eastAsiaTheme="minorEastAsia"/>
                <w:snapToGrid w:val="0"/>
                <w:color w:val="000000"/>
                <w:kern w:val="0"/>
                <w:sz w:val="20"/>
                <w:szCs w:val="20"/>
                <w:lang w:bidi="ar"/>
              </w:rPr>
              <w:br w:type="textWrapping"/>
            </w:r>
            <w:r>
              <w:rPr>
                <w:rFonts w:hint="default" w:ascii="Times New Roman" w:hAnsi="Times New Roman" w:cs="Times New Roman" w:eastAsiaTheme="minorEastAsia"/>
                <w:snapToGrid w:val="0"/>
                <w:color w:val="000000"/>
                <w:kern w:val="0"/>
                <w:sz w:val="20"/>
                <w:szCs w:val="20"/>
                <w:lang w:bidi="ar"/>
              </w:rPr>
              <w:t>2.继续邀请人大代表、政协委员、特约监察员、基层群众等参与检验成效。</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0ECCCC9F">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找准特色亮点和“一件事”,对行之有效的经验做法以适当形式在更大范围推广，实现工程领域招投标治理常态长治。</w:t>
            </w:r>
          </w:p>
        </w:tc>
      </w:tr>
      <w:tr w14:paraId="6B3AE32D">
        <w:tblPrEx>
          <w:tblCellMar>
            <w:top w:w="0" w:type="dxa"/>
            <w:left w:w="108" w:type="dxa"/>
            <w:bottom w:w="0" w:type="dxa"/>
            <w:right w:w="108" w:type="dxa"/>
          </w:tblCellMar>
        </w:tblPrEx>
        <w:trPr>
          <w:trHeight w:val="1260"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EFEDF48">
            <w:pPr>
              <w:widowControl/>
              <w:kinsoku w:val="0"/>
              <w:autoSpaceDE w:val="0"/>
              <w:autoSpaceDN w:val="0"/>
              <w:adjustRightInd w:val="0"/>
              <w:snapToGrid w:val="0"/>
              <w:jc w:val="center"/>
              <w:textAlignment w:val="center"/>
              <w:rPr>
                <w:rFonts w:hint="default" w:ascii="Times New Roman" w:hAnsi="Times New Roman" w:cs="Times New Roman" w:eastAsiaTheme="minorEastAsia"/>
                <w:snapToGrid w:val="0"/>
                <w:color w:val="000000"/>
                <w:kern w:val="0"/>
                <w:sz w:val="20"/>
                <w:szCs w:val="20"/>
                <w:lang w:eastAsia="en-US"/>
              </w:rPr>
            </w:pPr>
            <w:r>
              <w:rPr>
                <w:rFonts w:hint="default" w:ascii="Times New Roman" w:hAnsi="Times New Roman" w:cs="Times New Roman" w:eastAsiaTheme="minorEastAsia"/>
                <w:snapToGrid w:val="0"/>
                <w:color w:val="000000"/>
                <w:kern w:val="0"/>
                <w:sz w:val="20"/>
                <w:szCs w:val="20"/>
                <w:lang w:bidi="ar"/>
              </w:rPr>
              <w:t>12月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33C9C16A">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认真总结整改工作，形成工作报告。</w:t>
            </w:r>
          </w:p>
        </w:tc>
        <w:tc>
          <w:tcPr>
            <w:tcW w:w="6427" w:type="dxa"/>
            <w:tcBorders>
              <w:top w:val="single" w:color="000000" w:sz="4" w:space="0"/>
              <w:left w:val="single" w:color="000000" w:sz="4" w:space="0"/>
              <w:bottom w:val="single" w:color="000000" w:sz="4" w:space="0"/>
              <w:right w:val="single" w:color="000000" w:sz="4" w:space="0"/>
            </w:tcBorders>
            <w:noWrap w:val="0"/>
            <w:vAlign w:val="center"/>
          </w:tcPr>
          <w:p w14:paraId="03DE5084">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评估整治成效，全面梳理整改任务，推进常态化治理。</w:t>
            </w:r>
          </w:p>
        </w:tc>
        <w:tc>
          <w:tcPr>
            <w:tcW w:w="3537" w:type="dxa"/>
            <w:tcBorders>
              <w:top w:val="single" w:color="000000" w:sz="4" w:space="0"/>
              <w:left w:val="single" w:color="000000" w:sz="4" w:space="0"/>
              <w:bottom w:val="single" w:color="000000" w:sz="4" w:space="0"/>
              <w:right w:val="single" w:color="000000" w:sz="4" w:space="0"/>
            </w:tcBorders>
            <w:noWrap w:val="0"/>
            <w:vAlign w:val="center"/>
          </w:tcPr>
          <w:p w14:paraId="2ECD643F">
            <w:pPr>
              <w:widowControl/>
              <w:kinsoku w:val="0"/>
              <w:autoSpaceDE w:val="0"/>
              <w:autoSpaceDN w:val="0"/>
              <w:adjustRightInd w:val="0"/>
              <w:snapToGrid w:val="0"/>
              <w:jc w:val="left"/>
              <w:textAlignment w:val="center"/>
              <w:rPr>
                <w:rFonts w:hint="default" w:ascii="Times New Roman" w:hAnsi="Times New Roman" w:cs="Times New Roman" w:eastAsiaTheme="minorEastAsia"/>
                <w:snapToGrid w:val="0"/>
                <w:color w:val="000000"/>
                <w:kern w:val="0"/>
                <w:sz w:val="20"/>
                <w:szCs w:val="20"/>
              </w:rPr>
            </w:pPr>
            <w:r>
              <w:rPr>
                <w:rFonts w:hint="default" w:ascii="Times New Roman" w:hAnsi="Times New Roman" w:cs="Times New Roman" w:eastAsiaTheme="minorEastAsia"/>
                <w:snapToGrid w:val="0"/>
                <w:color w:val="000000"/>
                <w:kern w:val="0"/>
                <w:sz w:val="20"/>
                <w:szCs w:val="20"/>
                <w:lang w:bidi="ar"/>
              </w:rPr>
              <w:t>完成整改工作报告，注重整改成果运用，真正做到以改促建、以改促治、以改促优。</w:t>
            </w:r>
          </w:p>
        </w:tc>
      </w:tr>
    </w:tbl>
    <w:p w14:paraId="116B11A0">
      <w:pPr>
        <w:pStyle w:val="3"/>
        <w:ind w:left="0" w:leftChars="0" w:firstLine="0" w:firstLineChars="0"/>
        <w:rPr>
          <w:rFonts w:hint="default" w:ascii="Times New Roman" w:hAnsi="Times New Roman" w:cs="Times New Roman"/>
          <w:lang w:val="en-US" w:eastAsia="zh-CN"/>
        </w:rPr>
      </w:pPr>
    </w:p>
    <w:sectPr>
      <w:footerReference r:id="rId4" w:type="default"/>
      <w:pgSz w:w="16838" w:h="11906" w:orient="landscape"/>
      <w:pgMar w:top="1531" w:right="1701" w:bottom="1531" w:left="1701" w:header="851" w:footer="1417" w:gutter="0"/>
      <w:pgNumType w:fmt="decimal"/>
      <w:cols w:space="0" w:num="1"/>
      <w:rtlGutter w:val="0"/>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2A94F8B-5AAA-4E17-99E2-F0F45D251AA6}"/>
  </w:font>
  <w:font w:name="黑体">
    <w:panose1 w:val="02010609060101010101"/>
    <w:charset w:val="86"/>
    <w:family w:val="auto"/>
    <w:pitch w:val="default"/>
    <w:sig w:usb0="800002BF" w:usb1="38CF7CFA" w:usb2="00000016" w:usb3="00000000" w:csb0="00040001" w:csb1="00000000"/>
    <w:embedRegular r:id="rId2" w:fontKey="{3EE8D87D-D1C0-480E-BBE2-871E36CFA5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7220D37-C8B0-42A2-9D12-7BBEFC8262EC}"/>
  </w:font>
  <w:font w:name="仿宋_GB2312">
    <w:panose1 w:val="02010609030101010101"/>
    <w:charset w:val="86"/>
    <w:family w:val="auto"/>
    <w:pitch w:val="default"/>
    <w:sig w:usb0="00000001" w:usb1="080E0000" w:usb2="00000000" w:usb3="00000000" w:csb0="00040000" w:csb1="00000000"/>
    <w:embedRegular r:id="rId4" w:fontKey="{323FDF49-9CAF-43DF-ABD7-8805EA0642F6}"/>
  </w:font>
  <w:font w:name="方正小标宋简体">
    <w:panose1 w:val="03000509000000000000"/>
    <w:charset w:val="86"/>
    <w:family w:val="auto"/>
    <w:pitch w:val="default"/>
    <w:sig w:usb0="00000001" w:usb1="080E0000" w:usb2="00000000" w:usb3="00000000" w:csb0="00040000" w:csb1="00000000"/>
    <w:embedRegular r:id="rId5" w:fontKey="{0821BA25-EC31-46EE-A1A6-33264693B17F}"/>
  </w:font>
  <w:font w:name="楷体_GB2312">
    <w:panose1 w:val="02010609030101010101"/>
    <w:charset w:val="86"/>
    <w:family w:val="auto"/>
    <w:pitch w:val="default"/>
    <w:sig w:usb0="00000001" w:usb1="080E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embedRegular r:id="rId6" w:fontKey="{B6D01663-A89F-4386-9897-220E936501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7559">
    <w:pPr>
      <w:pStyle w:val="8"/>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01740">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D01740">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D52F">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23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1E315F"/>
    <w:rsid w:val="049E02B2"/>
    <w:rsid w:val="051C1DFE"/>
    <w:rsid w:val="079175EF"/>
    <w:rsid w:val="07C30CB3"/>
    <w:rsid w:val="09C23538"/>
    <w:rsid w:val="0AAE5E9D"/>
    <w:rsid w:val="0B2E4281"/>
    <w:rsid w:val="0CEC2F96"/>
    <w:rsid w:val="0F0F14DF"/>
    <w:rsid w:val="17093D30"/>
    <w:rsid w:val="184D1441"/>
    <w:rsid w:val="185843B2"/>
    <w:rsid w:val="186C7A84"/>
    <w:rsid w:val="1D953FE1"/>
    <w:rsid w:val="23940BF6"/>
    <w:rsid w:val="24D86B5F"/>
    <w:rsid w:val="2DAC54F6"/>
    <w:rsid w:val="2DCE32A4"/>
    <w:rsid w:val="31897265"/>
    <w:rsid w:val="3871083F"/>
    <w:rsid w:val="4090588F"/>
    <w:rsid w:val="41367D23"/>
    <w:rsid w:val="451E315F"/>
    <w:rsid w:val="45F61E1C"/>
    <w:rsid w:val="4B6F21E0"/>
    <w:rsid w:val="4C296C89"/>
    <w:rsid w:val="4F861A2E"/>
    <w:rsid w:val="51056174"/>
    <w:rsid w:val="51C37102"/>
    <w:rsid w:val="588302EE"/>
    <w:rsid w:val="59060E8C"/>
    <w:rsid w:val="5F6D6494"/>
    <w:rsid w:val="62007863"/>
    <w:rsid w:val="62A41E9F"/>
    <w:rsid w:val="676B2854"/>
    <w:rsid w:val="69E72528"/>
    <w:rsid w:val="6C974A38"/>
    <w:rsid w:val="6D885183"/>
    <w:rsid w:val="7BF80D3F"/>
    <w:rsid w:val="7D7F9B1F"/>
    <w:rsid w:val="7FF62EF8"/>
    <w:rsid w:val="BFF5E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24"/>
      <w:lang w:val="en-US" w:eastAsia="zh-CN" w:bidi="ar-SA"/>
    </w:rPr>
  </w:style>
  <w:style w:type="paragraph" w:styleId="4">
    <w:name w:val="heading 1"/>
    <w:basedOn w:val="1"/>
    <w:next w:val="1"/>
    <w:qFormat/>
    <w:uiPriority w:val="0"/>
    <w:pPr>
      <w:keepNext/>
      <w:keepLines/>
      <w:spacing w:beforeLines="0" w:beforeAutospacing="0" w:afterLines="0" w:afterAutospacing="0" w:line="600" w:lineRule="exact"/>
      <w:jc w:val="center"/>
      <w:outlineLvl w:val="0"/>
    </w:pPr>
    <w:rPr>
      <w:rFonts w:eastAsia="方正小标宋简体" w:cs="Calibri" w:asciiTheme="minorAscii" w:hAnsiTheme="minorAscii"/>
      <w:kern w:val="44"/>
      <w:sz w:val="44"/>
      <w:szCs w:val="21"/>
    </w:rPr>
  </w:style>
  <w:style w:type="paragraph" w:styleId="5">
    <w:name w:val="heading 2"/>
    <w:basedOn w:val="1"/>
    <w:next w:val="1"/>
    <w:semiHidden/>
    <w:unhideWhenUsed/>
    <w:qFormat/>
    <w:uiPriority w:val="0"/>
    <w:pPr>
      <w:keepNext/>
      <w:keepLines/>
      <w:spacing w:beforeLines="0" w:beforeAutospacing="0" w:afterLines="0" w:afterAutospacing="0" w:line="600" w:lineRule="exact"/>
      <w:ind w:firstLine="640" w:firstLineChars="200"/>
      <w:jc w:val="both"/>
      <w:outlineLvl w:val="1"/>
    </w:pPr>
    <w:rPr>
      <w:rFonts w:ascii="Arial" w:hAnsi="Arial" w:eastAsia="黑体"/>
    </w:rPr>
  </w:style>
  <w:style w:type="paragraph" w:styleId="6">
    <w:name w:val="heading 3"/>
    <w:basedOn w:val="1"/>
    <w:next w:val="1"/>
    <w:semiHidden/>
    <w:unhideWhenUsed/>
    <w:qFormat/>
    <w:uiPriority w:val="0"/>
    <w:pPr>
      <w:keepNext/>
      <w:keepLines/>
      <w:spacing w:beforeLines="0" w:beforeAutospacing="0" w:afterLines="0" w:afterAutospacing="0" w:line="600" w:lineRule="exact"/>
      <w:ind w:firstLine="880" w:firstLineChars="200"/>
      <w:outlineLvl w:val="2"/>
    </w:pPr>
    <w:rPr>
      <w:rFonts w:eastAsia="楷体_GB2312" w:asciiTheme="minorAscii" w:hAnsiTheme="minorAscii"/>
      <w:b/>
    </w:rPr>
  </w:style>
  <w:style w:type="paragraph" w:styleId="7">
    <w:name w:val="heading 4"/>
    <w:basedOn w:val="1"/>
    <w:next w:val="1"/>
    <w:semiHidden/>
    <w:unhideWhenUsed/>
    <w:qFormat/>
    <w:uiPriority w:val="0"/>
    <w:pPr>
      <w:keepNext/>
      <w:keepLines/>
      <w:spacing w:beforeLines="0" w:beforeAutospacing="0" w:afterLines="0" w:afterAutospacing="0" w:line="600" w:lineRule="exact"/>
      <w:ind w:firstLine="720" w:firstLineChars="200"/>
      <w:outlineLvl w:val="3"/>
    </w:pPr>
    <w:rPr>
      <w:rFonts w:ascii="Arial" w:hAnsi="Arial"/>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rFonts w:ascii="Calibri" w:hAnsi="Calibri" w:eastAsia="宋体" w:cs="Times New Roman"/>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8">
    <w:name w:val="footer"/>
    <w:basedOn w:val="1"/>
    <w:qFormat/>
    <w:uiPriority w:val="0"/>
    <w:pPr>
      <w:tabs>
        <w:tab w:val="center" w:pos="4153"/>
        <w:tab w:val="right" w:pos="8306"/>
      </w:tabs>
      <w:snapToGrid w:val="0"/>
      <w:ind w:left="320" w:leftChars="100" w:right="320" w:rightChars="100"/>
      <w:jc w:val="left"/>
    </w:pPr>
    <w:rPr>
      <w:rFonts w:ascii="宋体" w:hAnsi="宋体" w:eastAsia="宋体"/>
      <w:sz w:val="2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3770</Words>
  <Characters>3821</Characters>
  <Lines>0</Lines>
  <Paragraphs>0</Paragraphs>
  <TotalTime>2</TotalTime>
  <ScaleCrop>false</ScaleCrop>
  <LinksUpToDate>false</LinksUpToDate>
  <CharactersWithSpaces>4107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2025-05-06T16:58:00Z</dcterms:created>
  <dc:creator>张立翔</dc:creator>
  <cp:lastModifiedBy>张立翔</cp:lastModifiedBy>
  <cp:lastPrinted>2025-05-07T16:42:00Z</cp:lastPrinted>
  <dcterms:modified xsi:type="dcterms:W3CDTF">2025-07-02T09:38:59Z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17E8184CCB7B40838CD224FCD0A3A67C_13</vt:lpwstr>
  </property>
  <property fmtid="{D5CDD505-2E9C-101B-9397-08002B2CF9AE}" pid="4" name="KSOTemplateDocerSaveRecord">
    <vt:lpwstr>eyJoZGlkIjoiMTcyNGI1OGY2MGM1MzU3OWM3OWI4OGViOWQyZWE2N2QiLCJ1c2VySWQiOiIzNjcyNzAyODEifQ==</vt:lpwstr>
  </property>
</Properties>
</file>