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ind w:left="91"/>
        <w:jc w:val="center"/>
        <w:rPr>
          <w:color w:val="000000"/>
          <w:kern w:val="0"/>
          <w:sz w:val="36"/>
          <w:szCs w:val="36"/>
          <w:shd w:val="clear" w:color="auto" w:fill="FFFFFF"/>
        </w:rPr>
      </w:pPr>
      <w:r>
        <w:rPr>
          <w:rFonts w:hint="eastAsia" w:eastAsia="方正小标宋简体"/>
          <w:color w:val="000000"/>
          <w:kern w:val="0"/>
          <w:sz w:val="36"/>
          <w:szCs w:val="36"/>
        </w:rPr>
        <w:t>连城县人力资源和社会保障局调整的行政权力和公共服务事项目录</w:t>
      </w:r>
    </w:p>
    <w:tbl>
      <w:tblPr>
        <w:tblStyle w:val="5"/>
        <w:tblW w:w="15120" w:type="dxa"/>
        <w:jc w:val="center"/>
        <w:tblInd w:w="93" w:type="dxa"/>
        <w:tblLayout w:type="fixed"/>
        <w:tblCellMar>
          <w:top w:w="0" w:type="dxa"/>
          <w:left w:w="108" w:type="dxa"/>
          <w:bottom w:w="0" w:type="dxa"/>
          <w:right w:w="108" w:type="dxa"/>
        </w:tblCellMar>
      </w:tblPr>
      <w:tblGrid>
        <w:gridCol w:w="580"/>
        <w:gridCol w:w="1102"/>
        <w:gridCol w:w="1134"/>
        <w:gridCol w:w="686"/>
        <w:gridCol w:w="9318"/>
        <w:gridCol w:w="662"/>
        <w:gridCol w:w="1638"/>
      </w:tblGrid>
      <w:tr>
        <w:tblPrEx>
          <w:tblLayout w:type="fixed"/>
          <w:tblCellMar>
            <w:top w:w="0" w:type="dxa"/>
            <w:left w:w="108" w:type="dxa"/>
            <w:bottom w:w="0" w:type="dxa"/>
            <w:right w:w="108" w:type="dxa"/>
          </w:tblCellMar>
        </w:tblPrEx>
        <w:trPr>
          <w:trHeight w:val="600" w:hRule="atLeast"/>
          <w:jc w:val="center"/>
        </w:trPr>
        <w:tc>
          <w:tcPr>
            <w:tcW w:w="5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序号</w:t>
            </w:r>
          </w:p>
        </w:tc>
        <w:tc>
          <w:tcPr>
            <w:tcW w:w="1102"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项目名称</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子项名称</w:t>
            </w:r>
          </w:p>
        </w:tc>
        <w:tc>
          <w:tcPr>
            <w:tcW w:w="68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事项类别</w:t>
            </w:r>
          </w:p>
        </w:tc>
        <w:tc>
          <w:tcPr>
            <w:tcW w:w="931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实施依据</w:t>
            </w:r>
          </w:p>
        </w:tc>
        <w:tc>
          <w:tcPr>
            <w:tcW w:w="662"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实施主体</w:t>
            </w:r>
          </w:p>
        </w:tc>
        <w:tc>
          <w:tcPr>
            <w:tcW w:w="163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b/>
                <w:bCs/>
                <w:kern w:val="0"/>
                <w:sz w:val="20"/>
                <w:szCs w:val="20"/>
              </w:rPr>
            </w:pPr>
            <w:r>
              <w:rPr>
                <w:rFonts w:hint="eastAsia" w:ascii="宋体" w:hAnsi="宋体" w:eastAsia="宋体" w:cs="宋体"/>
                <w:b/>
                <w:bCs/>
                <w:kern w:val="0"/>
                <w:sz w:val="20"/>
                <w:szCs w:val="20"/>
              </w:rPr>
              <w:t>备注</w:t>
            </w:r>
          </w:p>
        </w:tc>
      </w:tr>
      <w:tr>
        <w:tblPrEx>
          <w:tblLayout w:type="fixed"/>
          <w:tblCellMar>
            <w:top w:w="0" w:type="dxa"/>
            <w:left w:w="108" w:type="dxa"/>
            <w:bottom w:w="0" w:type="dxa"/>
            <w:right w:w="108" w:type="dxa"/>
          </w:tblCellMar>
        </w:tblPrEx>
        <w:trPr>
          <w:trHeight w:val="3645" w:hRule="atLeast"/>
          <w:jc w:val="center"/>
        </w:trPr>
        <w:tc>
          <w:tcPr>
            <w:tcW w:w="580"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1102"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县级社会保险费及滞纳金征收</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（含5个子项）</w:t>
            </w: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1.机关事业单位养老保险费征收</w:t>
            </w:r>
          </w:p>
        </w:tc>
        <w:tc>
          <w:tcPr>
            <w:tcW w:w="686"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行政征收</w:t>
            </w:r>
          </w:p>
        </w:tc>
        <w:tc>
          <w:tcPr>
            <w:tcW w:w="9318"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    《国务院关于机关事业单位工作人员养老保险制度改革的决定》（国发〔2015〕2号）</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    三、实行社会统筹与个人账户相结合的基本养老保险制度。基本养老保险费由单位和个人共同负担。单位缴纳基本养老保险费（以下简称单位缴费）的比例为本单位工资总额的20%，个人缴纳基本养老保险费（以下简称个人缴费）的比例为本人缴费工资的8%，由单位代扣。按本人缴费工资8%的数额建立基本养老保险个人账户，全部由个人缴费形成。个人工资超过当地上年度在岗职工平均工资300%以上的部分，不计入个人缴费工资基数；低于当地上年度在岗职工平均工资60%的，按当地在岗职工平均工资的60%计算个人缴费工资基数。</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    十一、提高社会保险经办管理水平。各地要根据机关事业单位工作人员养老保险制度改革的实际需要，加强社会保险经办机构能力建设，适当充实工作人员，提供必要的经费和服务设施。人力资源社会保障部负责在京中央国家机关及所属事业单位基本养老保险的管理工作，同时集中受托管理其职业年金基金。中央国家机关所属京外单位的基本养老保险实行属地化管理。社会保险经办机构应做好机关事业单位养老保险参保登记、缴费申报、关系转移、待遇核定和支付等工作。要按照国家统一制定的业务经办流程和信息管理系统建设要求，建立健全管理制度，由省级统一集中管理数据资源，实现规范化、信息化和专业化管理，不断提高工作效率和服务质量。</w:t>
            </w:r>
          </w:p>
        </w:tc>
        <w:tc>
          <w:tcPr>
            <w:tcW w:w="66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县人社局</w:t>
            </w:r>
          </w:p>
        </w:tc>
        <w:tc>
          <w:tcPr>
            <w:tcW w:w="1638"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县级原事项名称为“县级社会保险费及滞纳金征收”中的子项1“机关事业单位基本养老保险费征收”，根据岩审改办函〔2018〕16号，将事项名称更名为“机关事业单位养老保险费征收”。</w:t>
            </w:r>
          </w:p>
        </w:tc>
      </w:tr>
      <w:tr>
        <w:tblPrEx>
          <w:tblLayout w:type="fixed"/>
          <w:tblCellMar>
            <w:top w:w="0" w:type="dxa"/>
            <w:left w:w="108" w:type="dxa"/>
            <w:bottom w:w="0" w:type="dxa"/>
            <w:right w:w="108" w:type="dxa"/>
          </w:tblCellMar>
        </w:tblPrEx>
        <w:trPr>
          <w:trHeight w:val="1230" w:hRule="atLeast"/>
          <w:jc w:val="center"/>
        </w:trPr>
        <w:tc>
          <w:tcPr>
            <w:tcW w:w="580"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1102"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基本公共就业服务（含3个子项）</w:t>
            </w: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1.就业失业登记</w:t>
            </w:r>
          </w:p>
        </w:tc>
        <w:tc>
          <w:tcPr>
            <w:tcW w:w="686"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kern w:val="0"/>
                <w:sz w:val="20"/>
                <w:szCs w:val="20"/>
              </w:rPr>
            </w:pPr>
            <w:r>
              <w:rPr>
                <w:rFonts w:hint="eastAsia" w:ascii="宋体" w:hAnsi="宋体" w:eastAsia="宋体" w:cs="宋体"/>
                <w:kern w:val="0"/>
                <w:sz w:val="20"/>
                <w:szCs w:val="20"/>
              </w:rPr>
              <w:t>公共服务</w:t>
            </w:r>
          </w:p>
        </w:tc>
        <w:tc>
          <w:tcPr>
            <w:tcW w:w="9318"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《就业促进法》</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第三十五条  县级以上人民政府建立健全公共就业服务体系，设立公共就业服务机构，为劳动者免费提供下列服务：……（五）办理就业登记、失业登记等事务。</w:t>
            </w:r>
          </w:p>
        </w:tc>
        <w:tc>
          <w:tcPr>
            <w:tcW w:w="662"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县人社局</w:t>
            </w:r>
          </w:p>
        </w:tc>
        <w:tc>
          <w:tcPr>
            <w:tcW w:w="1638"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将子项“就业失业登记”调整为公共服务事项大项。</w:t>
            </w:r>
          </w:p>
        </w:tc>
      </w:tr>
      <w:tr>
        <w:tblPrEx>
          <w:tblLayout w:type="fixed"/>
          <w:tblCellMar>
            <w:top w:w="0" w:type="dxa"/>
            <w:left w:w="108" w:type="dxa"/>
            <w:bottom w:w="0" w:type="dxa"/>
            <w:right w:w="108" w:type="dxa"/>
          </w:tblCellMar>
        </w:tblPrEx>
        <w:trPr>
          <w:trHeight w:val="1140" w:hRule="atLeast"/>
          <w:jc w:val="center"/>
        </w:trPr>
        <w:tc>
          <w:tcPr>
            <w:tcW w:w="580" w:type="dxa"/>
            <w:vMerge w:val="continue"/>
            <w:tcBorders>
              <w:top w:val="nil"/>
              <w:left w:val="single" w:color="auto" w:sz="4" w:space="0"/>
              <w:bottom w:val="single" w:color="000000" w:sz="4" w:space="0"/>
              <w:right w:val="single" w:color="auto" w:sz="4" w:space="0"/>
            </w:tcBorders>
            <w:shd w:val="clear" w:color="auto" w:fill="auto"/>
            <w:vAlign w:val="center"/>
          </w:tcPr>
          <w:p>
            <w:pPr>
              <w:widowControl/>
              <w:spacing w:line="240" w:lineRule="exact"/>
              <w:jc w:val="left"/>
              <w:rPr>
                <w:rFonts w:ascii="宋体" w:hAnsi="宋体" w:eastAsia="宋体" w:cs="宋体"/>
                <w:color w:val="000000"/>
                <w:kern w:val="0"/>
                <w:sz w:val="20"/>
                <w:szCs w:val="20"/>
              </w:rPr>
            </w:pPr>
          </w:p>
        </w:tc>
        <w:tc>
          <w:tcPr>
            <w:tcW w:w="1102" w:type="dxa"/>
            <w:vMerge w:val="continue"/>
            <w:tcBorders>
              <w:top w:val="nil"/>
              <w:left w:val="single" w:color="auto" w:sz="4" w:space="0"/>
              <w:bottom w:val="single" w:color="000000" w:sz="4" w:space="0"/>
              <w:right w:val="single" w:color="auto" w:sz="4" w:space="0"/>
            </w:tcBorders>
            <w:shd w:val="clear" w:color="auto" w:fill="auto"/>
            <w:vAlign w:val="center"/>
          </w:tcPr>
          <w:p>
            <w:pPr>
              <w:widowControl/>
              <w:spacing w:line="240" w:lineRule="exact"/>
              <w:jc w:val="left"/>
              <w:rPr>
                <w:rFonts w:ascii="宋体" w:hAnsi="宋体" w:eastAsia="宋体" w:cs="宋体"/>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2.就业援助服务</w:t>
            </w:r>
          </w:p>
        </w:tc>
        <w:tc>
          <w:tcPr>
            <w:tcW w:w="68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其他行政权力</w:t>
            </w:r>
          </w:p>
        </w:tc>
        <w:tc>
          <w:tcPr>
            <w:tcW w:w="9318"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　　《国务院关于进一步做好新形势下就业创业工作的意见》（国发〔2015〕23号）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第十四条  加强对困难人员的就业援助。合理确定就业困难人员的范围，规范认定程序，加强实名制动态管理和分类帮扶。……</w:t>
            </w:r>
          </w:p>
        </w:tc>
        <w:tc>
          <w:tcPr>
            <w:tcW w:w="66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县人社局</w:t>
            </w:r>
          </w:p>
        </w:tc>
        <w:tc>
          <w:tcPr>
            <w:tcW w:w="163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根据岩审改办函〔2018〕16号，将事项类别由“公共服务”调整为“其他行政权力”。</w:t>
            </w:r>
          </w:p>
        </w:tc>
      </w:tr>
      <w:tr>
        <w:tblPrEx>
          <w:tblLayout w:type="fixed"/>
          <w:tblCellMar>
            <w:top w:w="0" w:type="dxa"/>
            <w:left w:w="108" w:type="dxa"/>
            <w:bottom w:w="0" w:type="dxa"/>
            <w:right w:w="108" w:type="dxa"/>
          </w:tblCellMar>
        </w:tblPrEx>
        <w:trPr>
          <w:trHeight w:val="1575" w:hRule="atLeast"/>
          <w:jc w:val="center"/>
        </w:trPr>
        <w:tc>
          <w:tcPr>
            <w:tcW w:w="580" w:type="dxa"/>
            <w:vMerge w:val="continue"/>
            <w:tcBorders>
              <w:top w:val="nil"/>
              <w:left w:val="single" w:color="auto" w:sz="4" w:space="0"/>
              <w:bottom w:val="single" w:color="000000" w:sz="4" w:space="0"/>
              <w:right w:val="single" w:color="auto" w:sz="4" w:space="0"/>
            </w:tcBorders>
            <w:shd w:val="clear" w:color="auto" w:fill="auto"/>
            <w:vAlign w:val="center"/>
          </w:tcPr>
          <w:p>
            <w:pPr>
              <w:widowControl/>
              <w:spacing w:line="240" w:lineRule="exact"/>
              <w:jc w:val="left"/>
              <w:rPr>
                <w:rFonts w:ascii="宋体" w:hAnsi="宋体" w:eastAsia="宋体" w:cs="宋体"/>
                <w:color w:val="000000"/>
                <w:kern w:val="0"/>
                <w:sz w:val="20"/>
                <w:szCs w:val="20"/>
              </w:rPr>
            </w:pPr>
          </w:p>
        </w:tc>
        <w:tc>
          <w:tcPr>
            <w:tcW w:w="1102" w:type="dxa"/>
            <w:vMerge w:val="continue"/>
            <w:tcBorders>
              <w:top w:val="nil"/>
              <w:left w:val="single" w:color="auto" w:sz="4" w:space="0"/>
              <w:bottom w:val="single" w:color="000000" w:sz="4" w:space="0"/>
              <w:right w:val="single" w:color="auto" w:sz="4" w:space="0"/>
            </w:tcBorders>
            <w:shd w:val="clear" w:color="auto" w:fill="auto"/>
            <w:vAlign w:val="center"/>
          </w:tcPr>
          <w:p>
            <w:pPr>
              <w:widowControl/>
              <w:spacing w:line="240" w:lineRule="exact"/>
              <w:jc w:val="left"/>
              <w:rPr>
                <w:rFonts w:ascii="宋体" w:hAnsi="宋体" w:eastAsia="宋体" w:cs="宋体"/>
                <w:kern w:val="0"/>
                <w:sz w:val="20"/>
                <w:szCs w:val="20"/>
              </w:rPr>
            </w:pPr>
          </w:p>
        </w:tc>
        <w:tc>
          <w:tcPr>
            <w:tcW w:w="1134"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3.创业指导与服务</w:t>
            </w:r>
          </w:p>
        </w:tc>
        <w:tc>
          <w:tcPr>
            <w:tcW w:w="68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color w:val="000000"/>
                <w:kern w:val="0"/>
                <w:sz w:val="20"/>
                <w:szCs w:val="20"/>
              </w:rPr>
            </w:pPr>
          </w:p>
        </w:tc>
        <w:tc>
          <w:tcPr>
            <w:tcW w:w="9318"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    《国务院关于进一步做好新形势下就业创业工作的意见》（国发〔2015〕23号）</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第十七条  健全覆盖城乡的公共就业创业服务体系，提高服务均等化、标准化和专业化水平。完善公共就业服务体系的创业服务功能，充分发挥公共就业服务、中小企业服务、高校毕业生就业指导等机构的作用，为创业者提供项目开发、开业指导、融资服务、跟踪扶持等服务，创新服务内容和方式。……</w:t>
            </w:r>
          </w:p>
        </w:tc>
        <w:tc>
          <w:tcPr>
            <w:tcW w:w="662"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eastAsia="宋体" w:cs="宋体"/>
                <w:color w:val="000000"/>
                <w:kern w:val="0"/>
                <w:sz w:val="20"/>
                <w:szCs w:val="20"/>
              </w:rPr>
            </w:pPr>
          </w:p>
        </w:tc>
        <w:tc>
          <w:tcPr>
            <w:tcW w:w="1638" w:type="dxa"/>
            <w:vMerge w:val="continue"/>
            <w:tcBorders>
              <w:top w:val="nil"/>
              <w:left w:val="single" w:color="auto" w:sz="4" w:space="0"/>
              <w:bottom w:val="single" w:color="000000" w:sz="4" w:space="0"/>
              <w:right w:val="single" w:color="auto" w:sz="4" w:space="0"/>
            </w:tcBorders>
            <w:vAlign w:val="center"/>
          </w:tcPr>
          <w:p>
            <w:pPr>
              <w:widowControl/>
              <w:spacing w:line="240" w:lineRule="exact"/>
              <w:jc w:val="left"/>
              <w:rPr>
                <w:rFonts w:ascii="宋体" w:hAnsi="宋体" w:eastAsia="宋体" w:cs="宋体"/>
                <w:kern w:val="0"/>
                <w:sz w:val="20"/>
                <w:szCs w:val="20"/>
              </w:rPr>
            </w:pPr>
          </w:p>
        </w:tc>
      </w:tr>
    </w:tbl>
    <w:p>
      <w:pPr>
        <w:widowControl/>
        <w:spacing w:line="200" w:lineRule="exact"/>
        <w:rPr>
          <w:rFonts w:eastAsia="宋体"/>
          <w:sz w:val="21"/>
          <w:szCs w:val="21"/>
        </w:rPr>
        <w:sectPr>
          <w:footerReference r:id="rId3" w:type="default"/>
          <w:type w:val="continuous"/>
          <w:pgSz w:w="16838" w:h="11906" w:orient="landscape"/>
          <w:pgMar w:top="1531" w:right="1701" w:bottom="1531" w:left="1701" w:header="851" w:footer="992" w:gutter="0"/>
          <w:cols w:space="720" w:num="1"/>
          <w:docGrid w:type="linesAndChars" w:linePitch="312" w:charSpace="0"/>
        </w:sectPr>
      </w:pPr>
      <w:bookmarkStart w:id="0" w:name="_GoBack"/>
      <w:bookmarkEnd w:id="0"/>
    </w:p>
    <w:p>
      <w:pPr>
        <w:widowControl/>
        <w:spacing w:line="560" w:lineRule="exact"/>
        <w:rPr>
          <w:szCs w:val="32"/>
        </w:rPr>
      </w:pPr>
    </w:p>
    <w:p>
      <w:pPr>
        <w:widowControl/>
        <w:spacing w:line="560" w:lineRule="exact"/>
        <w:rPr>
          <w:szCs w:val="32"/>
        </w:rPr>
      </w:pPr>
    </w:p>
    <w:p>
      <w:pPr>
        <w:widowControl/>
        <w:spacing w:line="560" w:lineRule="exact"/>
        <w:rPr>
          <w:szCs w:val="32"/>
        </w:rPr>
      </w:pPr>
    </w:p>
    <w:p>
      <w:pPr>
        <w:widowControl/>
        <w:spacing w:line="560" w:lineRule="exact"/>
        <w:rPr>
          <w:szCs w:val="32"/>
        </w:rPr>
      </w:pPr>
    </w:p>
    <w:p>
      <w:pPr>
        <w:widowControl/>
        <w:spacing w:line="560" w:lineRule="exact"/>
        <w:rPr>
          <w:szCs w:val="32"/>
        </w:rPr>
      </w:pPr>
    </w:p>
    <w:p>
      <w:pPr>
        <w:widowControl/>
        <w:spacing w:line="560" w:lineRule="exact"/>
        <w:rPr>
          <w:szCs w:val="32"/>
        </w:rPr>
      </w:pPr>
    </w:p>
    <w:p>
      <w:pPr>
        <w:widowControl/>
        <w:spacing w:line="560" w:lineRule="exact"/>
        <w:rPr>
          <w:szCs w:val="32"/>
        </w:rPr>
      </w:pPr>
    </w:p>
    <w:p>
      <w:pPr>
        <w:widowControl/>
        <w:spacing w:line="560" w:lineRule="exact"/>
        <w:rPr>
          <w:szCs w:val="32"/>
        </w:rPr>
      </w:pPr>
    </w:p>
    <w:p>
      <w:pPr>
        <w:widowControl/>
        <w:spacing w:line="560" w:lineRule="exact"/>
        <w:rPr>
          <w:szCs w:val="32"/>
        </w:rPr>
      </w:pPr>
    </w:p>
    <w:p>
      <w:pPr>
        <w:widowControl/>
        <w:spacing w:line="560" w:lineRule="exact"/>
        <w:ind w:firstLine="640" w:firstLineChars="200"/>
        <w:rPr>
          <w:szCs w:val="32"/>
        </w:rPr>
      </w:pPr>
    </w:p>
    <w:p>
      <w:pPr>
        <w:widowControl/>
        <w:spacing w:line="560" w:lineRule="exact"/>
        <w:ind w:firstLine="640" w:firstLineChars="200"/>
        <w:rPr>
          <w:szCs w:val="32"/>
        </w:rPr>
      </w:pPr>
    </w:p>
    <w:p>
      <w:pPr>
        <w:widowControl/>
        <w:spacing w:line="560" w:lineRule="exact"/>
        <w:ind w:firstLine="640" w:firstLineChars="200"/>
        <w:rPr>
          <w:szCs w:val="32"/>
        </w:rPr>
      </w:pPr>
    </w:p>
    <w:p>
      <w:pPr>
        <w:widowControl/>
        <w:spacing w:line="560" w:lineRule="exact"/>
        <w:ind w:firstLine="640" w:firstLineChars="200"/>
        <w:rPr>
          <w:szCs w:val="32"/>
        </w:rPr>
      </w:pPr>
    </w:p>
    <w:p>
      <w:pPr>
        <w:widowControl/>
        <w:spacing w:line="560" w:lineRule="exact"/>
        <w:ind w:firstLine="640" w:firstLineChars="200"/>
        <w:rPr>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Fonts w:ascii="宋体" w:hAnsi="宋体"/>
        <w:sz w:val="28"/>
      </w:rPr>
    </w:pPr>
    <w:r>
      <w:rPr>
        <w:rStyle w:val="4"/>
        <w:sz w:val="28"/>
      </w:rPr>
      <w:t xml:space="preserve">–– </w:t>
    </w:r>
    <w:r>
      <w:rPr>
        <w:rStyle w:val="4"/>
        <w:sz w:val="28"/>
      </w:rPr>
      <w:fldChar w:fldCharType="begin"/>
    </w:r>
    <w:r>
      <w:rPr>
        <w:rStyle w:val="4"/>
        <w:sz w:val="28"/>
      </w:rPr>
      <w:instrText xml:space="preserve">PAGE  </w:instrText>
    </w:r>
    <w:r>
      <w:rPr>
        <w:rStyle w:val="4"/>
        <w:sz w:val="28"/>
      </w:rPr>
      <w:fldChar w:fldCharType="separate"/>
    </w:r>
    <w:r>
      <w:rPr>
        <w:rStyle w:val="4"/>
        <w:sz w:val="28"/>
      </w:rPr>
      <w:t>1</w:t>
    </w:r>
    <w:r>
      <w:rPr>
        <w:rStyle w:val="4"/>
        <w:sz w:val="28"/>
      </w:rPr>
      <w:fldChar w:fldCharType="end"/>
    </w:r>
    <w:r>
      <w:rPr>
        <w:rStyle w:val="4"/>
        <w:rFonts w:hint="eastAsia"/>
        <w:sz w:val="28"/>
      </w:rPr>
      <w:t xml:space="preserve"> </w:t>
    </w:r>
    <w:r>
      <w:rPr>
        <w:rStyle w:val="4"/>
        <w:sz w:val="28"/>
      </w:rPr>
      <w:t>––</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5D4A81"/>
    <w:rsid w:val="065D4A8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2018-09-26T07:20:00Z</dcterms:created>
  <dc:creator>Administrator</dc:creator>
  <cp:lastModifiedBy>Administrator</cp:lastModifiedBy>
  <dcterms:modified xsi:type="dcterms:W3CDTF">2018-09-26T07:21:19Z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