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CA428">
      <w:pPr>
        <w:bidi w:val="0"/>
        <w:rPr>
          <w:rFonts w:hint="eastAsia" w:ascii="黑体" w:hAnsi="黑体" w:eastAsia="黑体" w:cs="黑体"/>
          <w:sz w:val="32"/>
          <w:szCs w:val="32"/>
          <w:lang w:val="en-US" w:eastAsia="zh-CN"/>
        </w:rPr>
      </w:pPr>
      <w:r>
        <w:rPr>
          <w:rFonts w:hint="eastAsia" w:ascii="黑体" w:hAnsi="黑体" w:eastAsia="黑体" w:cs="黑体"/>
          <w:sz w:val="32"/>
          <w:szCs w:val="32"/>
        </w:rPr>
        <w:t>附件</w:t>
      </w:r>
    </w:p>
    <w:p w14:paraId="2190E9A0">
      <w:pPr>
        <w:bidi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行政执法协调监督职责清单</w:t>
      </w:r>
    </w:p>
    <w:tbl>
      <w:tblPr>
        <w:tblStyle w:val="9"/>
        <w:tblW w:w="14156" w:type="dxa"/>
        <w:tblInd w:w="-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929"/>
        <w:gridCol w:w="969"/>
        <w:gridCol w:w="2714"/>
        <w:gridCol w:w="1006"/>
        <w:gridCol w:w="2431"/>
        <w:gridCol w:w="4043"/>
        <w:gridCol w:w="1001"/>
        <w:gridCol w:w="559"/>
      </w:tblGrid>
      <w:tr w14:paraId="0A76E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blHeader/>
        </w:trPr>
        <w:tc>
          <w:tcPr>
            <w:tcW w:w="504" w:type="dxa"/>
            <w:noWrap w:val="0"/>
            <w:vAlign w:val="center"/>
          </w:tcPr>
          <w:p w14:paraId="50715568">
            <w:pPr>
              <w:keepNext w:val="0"/>
              <w:keepLines/>
              <w:pageBreakBefore w:val="0"/>
              <w:widowControl w:val="0"/>
              <w:kinsoku w:val="0"/>
              <w:wordWrap w:val="0"/>
              <w:overflowPunct w:val="0"/>
              <w:topLinePunct/>
              <w:autoSpaceDE w:val="0"/>
              <w:autoSpaceDN w:val="0"/>
              <w:bidi w:val="0"/>
              <w:adjustRightInd w:val="0"/>
              <w:snapToGrid w:val="0"/>
              <w:spacing w:line="380" w:lineRule="exact"/>
              <w:ind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1"/>
                <w:sz w:val="22"/>
                <w:szCs w:val="22"/>
              </w:rPr>
              <w:t>序</w:t>
            </w:r>
            <w:r>
              <w:rPr>
                <w:rFonts w:hint="eastAsia" w:ascii="仿宋_GB2312" w:hAnsi="仿宋_GB2312" w:eastAsia="仿宋_GB2312" w:cs="仿宋_GB2312"/>
                <w:b/>
                <w:bCs/>
                <w:spacing w:val="-3"/>
                <w:sz w:val="22"/>
                <w:szCs w:val="22"/>
              </w:rPr>
              <w:t>号</w:t>
            </w:r>
          </w:p>
        </w:tc>
        <w:tc>
          <w:tcPr>
            <w:tcW w:w="929" w:type="dxa"/>
            <w:noWrap w:val="0"/>
            <w:vAlign w:val="center"/>
          </w:tcPr>
          <w:p w14:paraId="4D714A6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6"/>
                <w:sz w:val="22"/>
                <w:szCs w:val="22"/>
              </w:rPr>
              <w:t>事项名称</w:t>
            </w:r>
          </w:p>
        </w:tc>
        <w:tc>
          <w:tcPr>
            <w:tcW w:w="969" w:type="dxa"/>
            <w:noWrap w:val="0"/>
            <w:vAlign w:val="center"/>
          </w:tcPr>
          <w:p w14:paraId="6D97E4F3">
            <w:pPr>
              <w:keepNext w:val="0"/>
              <w:keepLines/>
              <w:pageBreakBefore w:val="0"/>
              <w:widowControl w:val="0"/>
              <w:kinsoku w:val="0"/>
              <w:wordWrap w:val="0"/>
              <w:overflowPunct w:val="0"/>
              <w:topLinePunct/>
              <w:autoSpaceDE w:val="0"/>
              <w:autoSpaceDN w:val="0"/>
              <w:bidi w:val="0"/>
              <w:adjustRightInd w:val="0"/>
              <w:snapToGrid w:val="0"/>
              <w:spacing w:line="380" w:lineRule="exact"/>
              <w:ind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5"/>
                <w:sz w:val="22"/>
                <w:szCs w:val="22"/>
              </w:rPr>
              <w:t>事项类型</w:t>
            </w:r>
          </w:p>
        </w:tc>
        <w:tc>
          <w:tcPr>
            <w:tcW w:w="2714" w:type="dxa"/>
            <w:noWrap w:val="0"/>
            <w:vAlign w:val="center"/>
          </w:tcPr>
          <w:p w14:paraId="5517514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8"/>
                <w:sz w:val="22"/>
                <w:szCs w:val="22"/>
              </w:rPr>
              <w:t>设定、行使依据</w:t>
            </w:r>
          </w:p>
        </w:tc>
        <w:tc>
          <w:tcPr>
            <w:tcW w:w="1006" w:type="dxa"/>
            <w:noWrap w:val="0"/>
            <w:vAlign w:val="center"/>
          </w:tcPr>
          <w:p w14:paraId="31F0753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firstLine="14" w:firstLineChars="6"/>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5"/>
                <w:sz w:val="22"/>
                <w:szCs w:val="22"/>
              </w:rPr>
              <w:t>实施层</w:t>
            </w:r>
            <w:r>
              <w:rPr>
                <w:rFonts w:hint="eastAsia" w:ascii="仿宋_GB2312" w:hAnsi="仿宋_GB2312" w:eastAsia="仿宋_GB2312" w:cs="仿宋_GB2312"/>
                <w:b/>
                <w:bCs/>
                <w:sz w:val="22"/>
                <w:szCs w:val="22"/>
              </w:rPr>
              <w:t>级</w:t>
            </w:r>
          </w:p>
        </w:tc>
        <w:tc>
          <w:tcPr>
            <w:tcW w:w="2431" w:type="dxa"/>
            <w:noWrap w:val="0"/>
            <w:vAlign w:val="center"/>
          </w:tcPr>
          <w:p w14:paraId="1AC04C7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7"/>
                <w:sz w:val="22"/>
                <w:szCs w:val="22"/>
              </w:rPr>
              <w:t>具体权限内容</w:t>
            </w:r>
          </w:p>
        </w:tc>
        <w:tc>
          <w:tcPr>
            <w:tcW w:w="4043" w:type="dxa"/>
            <w:noWrap w:val="0"/>
            <w:vAlign w:val="center"/>
          </w:tcPr>
          <w:p w14:paraId="6EA72BA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8"/>
                <w:sz w:val="22"/>
                <w:szCs w:val="22"/>
              </w:rPr>
              <w:t>对应责任事项</w:t>
            </w:r>
          </w:p>
        </w:tc>
        <w:tc>
          <w:tcPr>
            <w:tcW w:w="1001" w:type="dxa"/>
            <w:noWrap w:val="0"/>
            <w:vAlign w:val="center"/>
          </w:tcPr>
          <w:p w14:paraId="48C3323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8"/>
                <w:sz w:val="22"/>
                <w:szCs w:val="22"/>
              </w:rPr>
              <w:t>追责依据</w:t>
            </w:r>
          </w:p>
        </w:tc>
        <w:tc>
          <w:tcPr>
            <w:tcW w:w="559" w:type="dxa"/>
            <w:noWrap w:val="0"/>
            <w:vAlign w:val="center"/>
          </w:tcPr>
          <w:p w14:paraId="7915DE4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b/>
                <w:bCs/>
                <w:sz w:val="22"/>
                <w:szCs w:val="22"/>
              </w:rPr>
            </w:pPr>
            <w:r>
              <w:rPr>
                <w:rFonts w:hint="eastAsia" w:ascii="仿宋_GB2312" w:hAnsi="仿宋_GB2312" w:eastAsia="仿宋_GB2312" w:cs="仿宋_GB2312"/>
                <w:b/>
                <w:bCs/>
                <w:spacing w:val="5"/>
                <w:sz w:val="22"/>
                <w:szCs w:val="22"/>
              </w:rPr>
              <w:t>备注</w:t>
            </w:r>
          </w:p>
        </w:tc>
      </w:tr>
      <w:tr w14:paraId="2CA97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4" w:type="dxa"/>
            <w:noWrap w:val="0"/>
            <w:vAlign w:val="center"/>
          </w:tcPr>
          <w:p w14:paraId="5D66270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8"/>
                <w:sz w:val="21"/>
                <w:szCs w:val="21"/>
              </w:rPr>
              <w:t>1</w:t>
            </w:r>
          </w:p>
        </w:tc>
        <w:tc>
          <w:tcPr>
            <w:tcW w:w="929" w:type="dxa"/>
            <w:noWrap w:val="0"/>
            <w:vAlign w:val="center"/>
          </w:tcPr>
          <w:p w14:paraId="4837389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6"/>
                <w:sz w:val="21"/>
                <w:szCs w:val="21"/>
              </w:rPr>
            </w:pPr>
            <w:r>
              <w:rPr>
                <w:rFonts w:hint="eastAsia" w:ascii="仿宋_GB2312" w:hAnsi="仿宋_GB2312" w:eastAsia="仿宋_GB2312" w:cs="仿宋_GB2312"/>
                <w:spacing w:val="8"/>
                <w:sz w:val="21"/>
                <w:szCs w:val="21"/>
              </w:rPr>
              <w:t>监督法律、法规、规章实施情况</w:t>
            </w:r>
          </w:p>
        </w:tc>
        <w:tc>
          <w:tcPr>
            <w:tcW w:w="969" w:type="dxa"/>
            <w:noWrap w:val="0"/>
            <w:vAlign w:val="center"/>
          </w:tcPr>
          <w:p w14:paraId="0B90643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lang w:eastAsia="zh-CN"/>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210F49D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2FA0EC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5278A7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20"/>
                <w:sz w:val="21"/>
                <w:szCs w:val="21"/>
              </w:rPr>
            </w:pPr>
            <w:r>
              <w:rPr>
                <w:rFonts w:hint="eastAsia" w:ascii="仿宋_GB2312" w:hAnsi="仿宋_GB2312" w:eastAsia="仿宋_GB2312" w:cs="仿宋_GB2312"/>
                <w:spacing w:val="-20"/>
                <w:sz w:val="21"/>
                <w:szCs w:val="21"/>
              </w:rPr>
              <w:t>乡（镇）级</w:t>
            </w:r>
          </w:p>
        </w:tc>
        <w:tc>
          <w:tcPr>
            <w:tcW w:w="2431" w:type="dxa"/>
            <w:noWrap w:val="0"/>
            <w:vAlign w:val="center"/>
          </w:tcPr>
          <w:p w14:paraId="671D40E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8"/>
                <w:sz w:val="21"/>
                <w:szCs w:val="21"/>
              </w:rPr>
              <w:t>监督指导乡镇依法实施法律、法规、规章，严格执行报告制度；对监督过程中发现的有关问题，有权提出初步执法监督意见提报县级行政执法监督机构协调处理。</w:t>
            </w:r>
          </w:p>
        </w:tc>
        <w:tc>
          <w:tcPr>
            <w:tcW w:w="4043" w:type="dxa"/>
            <w:noWrap w:val="0"/>
            <w:vAlign w:val="center"/>
          </w:tcPr>
          <w:p w14:paraId="3E3312D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2F5A1B0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318C5F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1AAC721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15663FF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32FFADC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5537E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4" w:type="dxa"/>
            <w:noWrap w:val="0"/>
            <w:vAlign w:val="center"/>
          </w:tcPr>
          <w:p w14:paraId="0893770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w:t>
            </w:r>
          </w:p>
        </w:tc>
        <w:tc>
          <w:tcPr>
            <w:tcW w:w="929" w:type="dxa"/>
            <w:noWrap w:val="0"/>
            <w:vAlign w:val="center"/>
          </w:tcPr>
          <w:p w14:paraId="3C9FBE9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监督行政执法责任制落实情况</w:t>
            </w:r>
          </w:p>
        </w:tc>
        <w:tc>
          <w:tcPr>
            <w:tcW w:w="969" w:type="dxa"/>
            <w:noWrap w:val="0"/>
            <w:vAlign w:val="center"/>
          </w:tcPr>
          <w:p w14:paraId="3E62B04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E212F5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5572DB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32B0A5D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20"/>
                <w:sz w:val="21"/>
                <w:szCs w:val="21"/>
              </w:rPr>
            </w:pPr>
            <w:r>
              <w:rPr>
                <w:rFonts w:hint="eastAsia" w:ascii="仿宋_GB2312" w:hAnsi="仿宋_GB2312" w:eastAsia="仿宋_GB2312" w:cs="仿宋_GB2312"/>
                <w:spacing w:val="-20"/>
                <w:sz w:val="21"/>
                <w:szCs w:val="21"/>
              </w:rPr>
              <w:t>乡（镇）级</w:t>
            </w:r>
          </w:p>
        </w:tc>
        <w:tc>
          <w:tcPr>
            <w:tcW w:w="2431" w:type="dxa"/>
            <w:noWrap w:val="0"/>
            <w:vAlign w:val="center"/>
          </w:tcPr>
          <w:p w14:paraId="1FF01D2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监督指导乡镇落实行政执法责任制；对监督过程中发现的有关问题，有权提出初步执法监督意见提报县级行政执法监督机构协调处理。</w:t>
            </w:r>
          </w:p>
        </w:tc>
        <w:tc>
          <w:tcPr>
            <w:tcW w:w="4043" w:type="dxa"/>
            <w:noWrap w:val="0"/>
            <w:vAlign w:val="center"/>
          </w:tcPr>
          <w:p w14:paraId="073271D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6336AAE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EAAF96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1344D3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1CC8FF5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EDA13D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008AB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0" w:hRule="atLeast"/>
        </w:trPr>
        <w:tc>
          <w:tcPr>
            <w:tcW w:w="504" w:type="dxa"/>
            <w:noWrap w:val="0"/>
            <w:vAlign w:val="center"/>
          </w:tcPr>
          <w:p w14:paraId="6705491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val="en-US" w:eastAsia="zh-CN"/>
              </w:rPr>
            </w:pPr>
            <w:r>
              <w:rPr>
                <w:rFonts w:hint="eastAsia" w:ascii="仿宋_GB2312" w:hAnsi="仿宋_GB2312" w:eastAsia="仿宋_GB2312" w:cs="仿宋_GB2312"/>
                <w:spacing w:val="8"/>
                <w:sz w:val="21"/>
                <w:szCs w:val="21"/>
                <w:lang w:val="en-US" w:eastAsia="zh-CN"/>
              </w:rPr>
              <w:t>3</w:t>
            </w:r>
          </w:p>
        </w:tc>
        <w:tc>
          <w:tcPr>
            <w:tcW w:w="929" w:type="dxa"/>
            <w:noWrap w:val="0"/>
            <w:vAlign w:val="center"/>
          </w:tcPr>
          <w:p w14:paraId="47BC709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监督相对集中行政处罚权、行政许可权等综合执法实施情况</w:t>
            </w:r>
          </w:p>
        </w:tc>
        <w:tc>
          <w:tcPr>
            <w:tcW w:w="969" w:type="dxa"/>
            <w:noWrap w:val="0"/>
            <w:vAlign w:val="center"/>
          </w:tcPr>
          <w:p w14:paraId="3DBE71E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C4D7C2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30F4B4D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61BBE75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6"/>
                <w:sz w:val="21"/>
                <w:szCs w:val="21"/>
              </w:rPr>
            </w:pPr>
            <w:r>
              <w:rPr>
                <w:rFonts w:hint="eastAsia" w:ascii="仿宋_GB2312" w:hAnsi="仿宋_GB2312" w:eastAsia="仿宋_GB2312"/>
                <w:spacing w:val="-20"/>
                <w:sz w:val="21"/>
              </w:rPr>
              <w:t>乡（镇）级</w:t>
            </w:r>
          </w:p>
        </w:tc>
        <w:tc>
          <w:tcPr>
            <w:tcW w:w="2431" w:type="dxa"/>
            <w:noWrap w:val="0"/>
            <w:vAlign w:val="center"/>
          </w:tcPr>
          <w:p w14:paraId="2305383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指导监督乡镇相对集中行政处罚权、行政许可权等综合执法的实施；对监督过程中发现的有关问题，有权提出初步执法监督意见提报县级行政执法监督机构协调处理。</w:t>
            </w:r>
          </w:p>
        </w:tc>
        <w:tc>
          <w:tcPr>
            <w:tcW w:w="4043" w:type="dxa"/>
            <w:noWrap w:val="0"/>
            <w:vAlign w:val="center"/>
          </w:tcPr>
          <w:p w14:paraId="42664FE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16EAC9C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A5CDD6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0AD0528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7CDA42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5656DAC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41CBB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1" w:hRule="atLeast"/>
        </w:trPr>
        <w:tc>
          <w:tcPr>
            <w:tcW w:w="504" w:type="dxa"/>
            <w:noWrap w:val="0"/>
            <w:vAlign w:val="center"/>
          </w:tcPr>
          <w:p w14:paraId="0B83C52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default" w:ascii="仿宋_GB2312" w:hAnsi="仿宋_GB2312" w:eastAsia="仿宋_GB2312" w:cs="仿宋_GB2312"/>
                <w:spacing w:val="8"/>
                <w:sz w:val="21"/>
                <w:szCs w:val="21"/>
                <w:lang w:val="en-US" w:eastAsia="zh-CN"/>
              </w:rPr>
            </w:pPr>
            <w:r>
              <w:rPr>
                <w:rFonts w:hint="eastAsia" w:ascii="仿宋_GB2312" w:hAnsi="仿宋_GB2312" w:eastAsia="仿宋_GB2312" w:cs="仿宋_GB2312"/>
                <w:spacing w:val="8"/>
                <w:sz w:val="21"/>
                <w:szCs w:val="21"/>
                <w:lang w:val="en-US" w:eastAsia="zh-CN"/>
              </w:rPr>
              <w:t>4</w:t>
            </w:r>
          </w:p>
        </w:tc>
        <w:tc>
          <w:tcPr>
            <w:tcW w:w="929" w:type="dxa"/>
            <w:noWrap w:val="0"/>
            <w:vAlign w:val="center"/>
          </w:tcPr>
          <w:p w14:paraId="7AAEDBA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监督行政执法裁量基准制度公布和实施情况</w:t>
            </w:r>
          </w:p>
        </w:tc>
        <w:tc>
          <w:tcPr>
            <w:tcW w:w="969" w:type="dxa"/>
            <w:noWrap w:val="0"/>
            <w:vAlign w:val="center"/>
          </w:tcPr>
          <w:p w14:paraId="5F339AD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0D94763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74620CD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009CE03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6"/>
                <w:sz w:val="21"/>
                <w:szCs w:val="21"/>
              </w:rPr>
            </w:pPr>
            <w:r>
              <w:rPr>
                <w:rFonts w:hint="eastAsia" w:ascii="仿宋_GB2312" w:hAnsi="仿宋_GB2312" w:eastAsia="仿宋_GB2312"/>
                <w:spacing w:val="-20"/>
                <w:sz w:val="21"/>
              </w:rPr>
              <w:t>乡（镇）级</w:t>
            </w:r>
          </w:p>
        </w:tc>
        <w:tc>
          <w:tcPr>
            <w:tcW w:w="2431" w:type="dxa"/>
            <w:noWrap w:val="0"/>
            <w:vAlign w:val="center"/>
          </w:tcPr>
          <w:p w14:paraId="602C59A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协助梳理法律、法规、规章规定的有裁量幅度的行政执法条款，协助制定乡镇行政执法裁量基准，并向社会公布；对监督过程中发现的有关问题，有权提出初步执法监督意见提报县级行政执法监督机构协调处理。</w:t>
            </w:r>
          </w:p>
        </w:tc>
        <w:tc>
          <w:tcPr>
            <w:tcW w:w="4043" w:type="dxa"/>
            <w:noWrap w:val="0"/>
            <w:vAlign w:val="center"/>
          </w:tcPr>
          <w:p w14:paraId="4628801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58AB725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0E379A3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7790035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48B7FB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37DBEBC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0EC06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1" w:hRule="atLeast"/>
        </w:trPr>
        <w:tc>
          <w:tcPr>
            <w:tcW w:w="504" w:type="dxa"/>
            <w:noWrap w:val="0"/>
            <w:vAlign w:val="center"/>
          </w:tcPr>
          <w:p w14:paraId="3CAB483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spacing w:val="8"/>
                <w:sz w:val="21"/>
                <w:szCs w:val="21"/>
                <w:lang w:val="en-US" w:eastAsia="zh-CN"/>
              </w:rPr>
              <w:t>5</w:t>
            </w:r>
          </w:p>
        </w:tc>
        <w:tc>
          <w:tcPr>
            <w:tcW w:w="929" w:type="dxa"/>
            <w:noWrap w:val="0"/>
            <w:vAlign w:val="center"/>
          </w:tcPr>
          <w:p w14:paraId="4C00FF7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监督行政执法主体合法性审查和公告制度执行情况</w:t>
            </w:r>
          </w:p>
        </w:tc>
        <w:tc>
          <w:tcPr>
            <w:tcW w:w="969" w:type="dxa"/>
            <w:noWrap w:val="0"/>
            <w:vAlign w:val="center"/>
          </w:tcPr>
          <w:p w14:paraId="768BFD2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57C943A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7A85A29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7B13B3B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6"/>
                <w:sz w:val="21"/>
                <w:szCs w:val="21"/>
              </w:rPr>
            </w:pPr>
            <w:r>
              <w:rPr>
                <w:rFonts w:hint="eastAsia" w:ascii="仿宋_GB2312" w:hAnsi="仿宋_GB2312" w:eastAsia="仿宋_GB2312"/>
                <w:spacing w:val="-20"/>
                <w:sz w:val="21"/>
              </w:rPr>
              <w:t>乡（镇）级</w:t>
            </w:r>
          </w:p>
        </w:tc>
        <w:tc>
          <w:tcPr>
            <w:tcW w:w="2431" w:type="dxa"/>
            <w:noWrap w:val="0"/>
            <w:vAlign w:val="center"/>
          </w:tcPr>
          <w:p w14:paraId="78CB08F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组织实施乡镇行政执法主体资格信息的填报、初审。</w:t>
            </w:r>
          </w:p>
        </w:tc>
        <w:tc>
          <w:tcPr>
            <w:tcW w:w="4043" w:type="dxa"/>
            <w:noWrap w:val="0"/>
            <w:vAlign w:val="center"/>
          </w:tcPr>
          <w:p w14:paraId="6EF69E7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1445DD6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11C875B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55CCF97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1DE5753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64DA7D2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4322A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5" w:hRule="atLeast"/>
        </w:trPr>
        <w:tc>
          <w:tcPr>
            <w:tcW w:w="504" w:type="dxa"/>
            <w:noWrap w:val="0"/>
            <w:vAlign w:val="center"/>
          </w:tcPr>
          <w:p w14:paraId="682AC59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spacing w:val="8"/>
                <w:sz w:val="21"/>
                <w:szCs w:val="21"/>
                <w:lang w:val="en-US" w:eastAsia="zh-CN"/>
              </w:rPr>
              <w:t>6</w:t>
            </w:r>
          </w:p>
        </w:tc>
        <w:tc>
          <w:tcPr>
            <w:tcW w:w="929" w:type="dxa"/>
            <w:noWrap w:val="0"/>
            <w:vAlign w:val="center"/>
          </w:tcPr>
          <w:p w14:paraId="613FE2A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行政执法员资格和证件管理</w:t>
            </w:r>
          </w:p>
        </w:tc>
        <w:tc>
          <w:tcPr>
            <w:tcW w:w="969" w:type="dxa"/>
            <w:noWrap w:val="0"/>
            <w:vAlign w:val="center"/>
          </w:tcPr>
          <w:p w14:paraId="728CEE8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411DB13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472D1AB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6EDC087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0B84223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组织实施乡镇行政执法人员资格认证信息的初审和提报；指导监督乡镇执法人员信息的公示公开。</w:t>
            </w:r>
          </w:p>
        </w:tc>
        <w:tc>
          <w:tcPr>
            <w:tcW w:w="4043" w:type="dxa"/>
            <w:noWrap w:val="0"/>
            <w:vAlign w:val="center"/>
          </w:tcPr>
          <w:p w14:paraId="0C0E8FD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3F85725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B7BC0F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0FB48BC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42BA9C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79A00FB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1ED86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0" w:hRule="atLeast"/>
        </w:trPr>
        <w:tc>
          <w:tcPr>
            <w:tcW w:w="504" w:type="dxa"/>
            <w:noWrap w:val="0"/>
            <w:vAlign w:val="center"/>
          </w:tcPr>
          <w:p w14:paraId="35537EA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p>
          <w:p w14:paraId="0B1248C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spacing w:val="8"/>
                <w:sz w:val="21"/>
                <w:szCs w:val="21"/>
                <w:lang w:val="en-US" w:eastAsia="zh-CN"/>
              </w:rPr>
              <w:t>7</w:t>
            </w:r>
          </w:p>
        </w:tc>
        <w:tc>
          <w:tcPr>
            <w:tcW w:w="929" w:type="dxa"/>
            <w:noWrap w:val="0"/>
            <w:vAlign w:val="center"/>
          </w:tcPr>
          <w:p w14:paraId="6E2F2A1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监督行政执法程序合法性、正当性</w:t>
            </w:r>
          </w:p>
        </w:tc>
        <w:tc>
          <w:tcPr>
            <w:tcW w:w="969" w:type="dxa"/>
            <w:noWrap w:val="0"/>
            <w:vAlign w:val="center"/>
          </w:tcPr>
          <w:p w14:paraId="0B3A666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0200EA2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B20551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D09525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571CF51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监督指导乡镇行政执法程序，推行严格规范公正文明执法。</w:t>
            </w:r>
          </w:p>
        </w:tc>
        <w:tc>
          <w:tcPr>
            <w:tcW w:w="4043" w:type="dxa"/>
            <w:noWrap w:val="0"/>
            <w:vAlign w:val="center"/>
          </w:tcPr>
          <w:p w14:paraId="423E9F0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5DDBBCF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126DF40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4C48D9E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2D09431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4E5983E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76BA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5" w:hRule="atLeast"/>
        </w:trPr>
        <w:tc>
          <w:tcPr>
            <w:tcW w:w="504" w:type="dxa"/>
            <w:noWrap w:val="0"/>
            <w:vAlign w:val="center"/>
          </w:tcPr>
          <w:p w14:paraId="4FF2AF0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spacing w:val="8"/>
                <w:sz w:val="21"/>
                <w:szCs w:val="21"/>
                <w:lang w:val="en-US" w:eastAsia="zh-CN"/>
              </w:rPr>
              <w:t>8</w:t>
            </w:r>
          </w:p>
        </w:tc>
        <w:tc>
          <w:tcPr>
            <w:tcW w:w="929" w:type="dxa"/>
            <w:noWrap w:val="0"/>
            <w:vAlign w:val="center"/>
          </w:tcPr>
          <w:p w14:paraId="5AB868F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监督无正当理由不履行或者拖延履行法定职责的行为</w:t>
            </w:r>
          </w:p>
        </w:tc>
        <w:tc>
          <w:tcPr>
            <w:tcW w:w="969" w:type="dxa"/>
            <w:noWrap w:val="0"/>
            <w:vAlign w:val="center"/>
          </w:tcPr>
          <w:p w14:paraId="2AFAC61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76F3CA2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546051F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290A1A4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63D045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对乡镇无正当理由不履行或者拖延履行法定职责的问题进行监督；对监督过程中发现的有关问题，有权提出初步执法监督意见提报县级行政执法监督机构协调处理。</w:t>
            </w:r>
          </w:p>
        </w:tc>
        <w:tc>
          <w:tcPr>
            <w:tcW w:w="4043" w:type="dxa"/>
            <w:noWrap w:val="0"/>
            <w:vAlign w:val="center"/>
          </w:tcPr>
          <w:p w14:paraId="6514939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40DCDB5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23FD164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2E31F4B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6F8F975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707B1FC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51976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0" w:hRule="atLeast"/>
        </w:trPr>
        <w:tc>
          <w:tcPr>
            <w:tcW w:w="504" w:type="dxa"/>
            <w:noWrap w:val="0"/>
            <w:vAlign w:val="center"/>
          </w:tcPr>
          <w:p w14:paraId="0AB9DF4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lang w:val="en-US" w:eastAsia="zh-CN"/>
              </w:rPr>
            </w:pPr>
            <w:r>
              <w:rPr>
                <w:rFonts w:hint="eastAsia" w:ascii="仿宋_GB2312" w:hAnsi="仿宋_GB2312" w:eastAsia="仿宋_GB2312" w:cs="仿宋_GB2312"/>
                <w:spacing w:val="8"/>
                <w:sz w:val="21"/>
                <w:szCs w:val="21"/>
                <w:lang w:val="en-US" w:eastAsia="zh-CN"/>
              </w:rPr>
              <w:t>9</w:t>
            </w:r>
          </w:p>
        </w:tc>
        <w:tc>
          <w:tcPr>
            <w:tcW w:w="929" w:type="dxa"/>
            <w:noWrap w:val="0"/>
            <w:vAlign w:val="center"/>
          </w:tcPr>
          <w:p w14:paraId="14CD2AB4">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监督行政执法公示制度执行情况</w:t>
            </w:r>
          </w:p>
        </w:tc>
        <w:tc>
          <w:tcPr>
            <w:tcW w:w="969" w:type="dxa"/>
            <w:noWrap w:val="0"/>
            <w:vAlign w:val="center"/>
          </w:tcPr>
          <w:p w14:paraId="712AAC06">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2A5FE484">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7E5E6C5">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6F55C9CB">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63C5FB1E">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监督指导乡镇严格落实行政执法公示制度。</w:t>
            </w:r>
          </w:p>
        </w:tc>
        <w:tc>
          <w:tcPr>
            <w:tcW w:w="4043" w:type="dxa"/>
            <w:noWrap w:val="0"/>
            <w:vAlign w:val="center"/>
          </w:tcPr>
          <w:p w14:paraId="23D51289">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0A5961F">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1AD9E289">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060179BB">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7EB4793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11274F9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E6E1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9" w:hRule="atLeast"/>
        </w:trPr>
        <w:tc>
          <w:tcPr>
            <w:tcW w:w="504" w:type="dxa"/>
            <w:noWrap w:val="0"/>
            <w:vAlign w:val="center"/>
          </w:tcPr>
          <w:p w14:paraId="36ED664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10</w:t>
            </w:r>
          </w:p>
        </w:tc>
        <w:tc>
          <w:tcPr>
            <w:tcW w:w="929" w:type="dxa"/>
            <w:noWrap w:val="0"/>
            <w:vAlign w:val="center"/>
          </w:tcPr>
          <w:p w14:paraId="00811A50">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监督行行政执法全过程记录制度执行情况</w:t>
            </w:r>
          </w:p>
        </w:tc>
        <w:tc>
          <w:tcPr>
            <w:tcW w:w="969" w:type="dxa"/>
            <w:noWrap w:val="0"/>
            <w:vAlign w:val="center"/>
          </w:tcPr>
          <w:p w14:paraId="492E439B">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702A5650">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7FFDB40C">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908E9B7">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6980AD5C">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监督指导乡镇严格落实行政执法全过程记录制度，通过文字、音像等记录形式，对行政执法的启动、调查取证、审核决定、送达执行等全部过程进行记</w:t>
            </w:r>
          </w:p>
          <w:p w14:paraId="59714A8F">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录，并全面系统归档保存。</w:t>
            </w:r>
          </w:p>
        </w:tc>
        <w:tc>
          <w:tcPr>
            <w:tcW w:w="4043" w:type="dxa"/>
            <w:noWrap w:val="0"/>
            <w:vAlign w:val="center"/>
          </w:tcPr>
          <w:p w14:paraId="3202E982">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3B3ECC83">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6D776CEB">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37397FDA">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53CA506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29BF081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29F0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9" w:hRule="atLeast"/>
        </w:trPr>
        <w:tc>
          <w:tcPr>
            <w:tcW w:w="504" w:type="dxa"/>
            <w:noWrap w:val="0"/>
            <w:vAlign w:val="center"/>
          </w:tcPr>
          <w:p w14:paraId="26C6DF4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11</w:t>
            </w:r>
          </w:p>
        </w:tc>
        <w:tc>
          <w:tcPr>
            <w:tcW w:w="929" w:type="dxa"/>
            <w:noWrap w:val="0"/>
            <w:vAlign w:val="center"/>
          </w:tcPr>
          <w:p w14:paraId="38B018F2">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监督重大行政执法决定法制审核制度执行情况</w:t>
            </w:r>
          </w:p>
        </w:tc>
        <w:tc>
          <w:tcPr>
            <w:tcW w:w="969" w:type="dxa"/>
            <w:noWrap w:val="0"/>
            <w:vAlign w:val="center"/>
          </w:tcPr>
          <w:p w14:paraId="16BD6C99">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DA8DC71">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79CC4B1D">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2BAF8880">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72B19061">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组织开展乡镇重大行政执法决定法制审核等工作。</w:t>
            </w:r>
          </w:p>
        </w:tc>
        <w:tc>
          <w:tcPr>
            <w:tcW w:w="4043" w:type="dxa"/>
            <w:noWrap w:val="0"/>
            <w:vAlign w:val="center"/>
          </w:tcPr>
          <w:p w14:paraId="31AF5A9C">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0B1F96B">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38933B01">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5A88BB53">
            <w:pPr>
              <w:keepNext w:val="0"/>
              <w:keepLines/>
              <w:pageBreakBefore w:val="0"/>
              <w:widowControl w:val="0"/>
              <w:kinsoku w:val="0"/>
              <w:wordWrap w:val="0"/>
              <w:overflowPunct w:val="0"/>
              <w:topLinePunct/>
              <w:autoSpaceDE w:val="0"/>
              <w:autoSpaceDN w:val="0"/>
              <w:bidi w:val="0"/>
              <w:adjustRightInd w:val="0"/>
              <w:snapToGrid w:val="0"/>
              <w:spacing w:line="32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300ED95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1221770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AF4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0" w:hRule="atLeast"/>
        </w:trPr>
        <w:tc>
          <w:tcPr>
            <w:tcW w:w="504" w:type="dxa"/>
            <w:noWrap w:val="0"/>
            <w:vAlign w:val="center"/>
          </w:tcPr>
          <w:p w14:paraId="067E523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12</w:t>
            </w:r>
          </w:p>
        </w:tc>
        <w:tc>
          <w:tcPr>
            <w:tcW w:w="929" w:type="dxa"/>
            <w:noWrap w:val="0"/>
            <w:vAlign w:val="center"/>
          </w:tcPr>
          <w:p w14:paraId="69969AA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监督行政执法案卷归档和管理工作</w:t>
            </w:r>
          </w:p>
        </w:tc>
        <w:tc>
          <w:tcPr>
            <w:tcW w:w="969" w:type="dxa"/>
            <w:noWrap w:val="0"/>
            <w:vAlign w:val="center"/>
          </w:tcPr>
          <w:p w14:paraId="308D565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05E4C95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70C1784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371C0D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EAB2A6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监督指导乡镇行政执法案卷归档和管理工作。</w:t>
            </w:r>
          </w:p>
        </w:tc>
        <w:tc>
          <w:tcPr>
            <w:tcW w:w="4043" w:type="dxa"/>
            <w:noWrap w:val="0"/>
            <w:vAlign w:val="center"/>
          </w:tcPr>
          <w:p w14:paraId="08CFF18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D55E48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7FB4BCD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7FA208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006D9DF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6FA2B37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FDB1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0" w:hRule="atLeast"/>
        </w:trPr>
        <w:tc>
          <w:tcPr>
            <w:tcW w:w="504" w:type="dxa"/>
            <w:noWrap w:val="0"/>
            <w:vAlign w:val="center"/>
          </w:tcPr>
          <w:p w14:paraId="47D2CC5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13</w:t>
            </w:r>
          </w:p>
        </w:tc>
        <w:tc>
          <w:tcPr>
            <w:tcW w:w="929" w:type="dxa"/>
            <w:noWrap w:val="0"/>
            <w:vAlign w:val="center"/>
          </w:tcPr>
          <w:p w14:paraId="1B7C4E1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监督行政执法评议考核制度执行情况</w:t>
            </w:r>
          </w:p>
        </w:tc>
        <w:tc>
          <w:tcPr>
            <w:tcW w:w="969" w:type="dxa"/>
            <w:noWrap w:val="0"/>
            <w:vAlign w:val="center"/>
          </w:tcPr>
          <w:p w14:paraId="3578427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C11B55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31A9204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452B12B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269C7AA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负责乡镇执行行政执法评议考核制度各项具体工作。</w:t>
            </w:r>
          </w:p>
        </w:tc>
        <w:tc>
          <w:tcPr>
            <w:tcW w:w="4043" w:type="dxa"/>
            <w:noWrap w:val="0"/>
            <w:vAlign w:val="center"/>
          </w:tcPr>
          <w:p w14:paraId="1ED9E49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60A60C2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13FE848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3483EE6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6EAD138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3D62BFF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75C9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5" w:hRule="atLeast"/>
        </w:trPr>
        <w:tc>
          <w:tcPr>
            <w:tcW w:w="504" w:type="dxa"/>
            <w:noWrap w:val="0"/>
            <w:vAlign w:val="center"/>
          </w:tcPr>
          <w:p w14:paraId="0C167E9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14</w:t>
            </w:r>
          </w:p>
        </w:tc>
        <w:tc>
          <w:tcPr>
            <w:tcW w:w="929" w:type="dxa"/>
            <w:noWrap w:val="0"/>
            <w:vAlign w:val="center"/>
          </w:tcPr>
          <w:p w14:paraId="0BC2730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对重大行政执法监督事项的专门调查</w:t>
            </w:r>
          </w:p>
        </w:tc>
        <w:tc>
          <w:tcPr>
            <w:tcW w:w="969" w:type="dxa"/>
            <w:noWrap w:val="0"/>
            <w:vAlign w:val="center"/>
          </w:tcPr>
          <w:p w14:paraId="27F826A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55BD9A6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44F1BB1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09188A9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41156E9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负责对乡镇范围内具有重大社会影响或者涉及公民、法人和其他组织重大利益的行政执法监督事项，组织有关单位和人员进行专门调查。</w:t>
            </w:r>
          </w:p>
        </w:tc>
        <w:tc>
          <w:tcPr>
            <w:tcW w:w="4043" w:type="dxa"/>
            <w:noWrap w:val="0"/>
            <w:vAlign w:val="center"/>
          </w:tcPr>
          <w:p w14:paraId="07CA4B0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075832E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35363D4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7A135B1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C70C15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7B2DC4E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7A47B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0" w:hRule="atLeast"/>
        </w:trPr>
        <w:tc>
          <w:tcPr>
            <w:tcW w:w="504" w:type="dxa"/>
            <w:noWrap w:val="0"/>
            <w:vAlign w:val="center"/>
          </w:tcPr>
          <w:p w14:paraId="7AD14ED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15</w:t>
            </w:r>
          </w:p>
        </w:tc>
        <w:tc>
          <w:tcPr>
            <w:tcW w:w="929" w:type="dxa"/>
            <w:noWrap w:val="0"/>
            <w:vAlign w:val="center"/>
          </w:tcPr>
          <w:p w14:paraId="7EDCF56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约谈有关行政执法机关负责人</w:t>
            </w:r>
          </w:p>
        </w:tc>
        <w:tc>
          <w:tcPr>
            <w:tcW w:w="969" w:type="dxa"/>
            <w:noWrap w:val="0"/>
            <w:vAlign w:val="center"/>
          </w:tcPr>
          <w:p w14:paraId="7662BA3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23C6657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072ACE3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A005E5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9250E8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负责对乡镇行政执法行为违法或者不当情况进行及时统计，上报县级行政执法协调监督部门协调处理。</w:t>
            </w:r>
          </w:p>
        </w:tc>
        <w:tc>
          <w:tcPr>
            <w:tcW w:w="4043" w:type="dxa"/>
            <w:noWrap w:val="0"/>
            <w:vAlign w:val="center"/>
          </w:tcPr>
          <w:p w14:paraId="31757B8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1026940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07536AA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526325D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141E36E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3C8018A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42498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5" w:hRule="atLeast"/>
        </w:trPr>
        <w:tc>
          <w:tcPr>
            <w:tcW w:w="504" w:type="dxa"/>
            <w:noWrap w:val="0"/>
            <w:vAlign w:val="center"/>
          </w:tcPr>
          <w:p w14:paraId="757A3D7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16</w:t>
            </w:r>
          </w:p>
        </w:tc>
        <w:tc>
          <w:tcPr>
            <w:tcW w:w="929" w:type="dxa"/>
            <w:noWrap w:val="0"/>
            <w:vAlign w:val="center"/>
          </w:tcPr>
          <w:p w14:paraId="03663C2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监督行政执法机关的行政执法文书</w:t>
            </w:r>
          </w:p>
        </w:tc>
        <w:tc>
          <w:tcPr>
            <w:tcW w:w="969" w:type="dxa"/>
            <w:noWrap w:val="0"/>
            <w:vAlign w:val="center"/>
          </w:tcPr>
          <w:p w14:paraId="3EDAF0A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3FC53EC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0384262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42B5114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0A8E0F6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通过抽查、暗访、案卷评查等方式对乡镇的行政执法文书进行检查，监督指导乡镇综合执法机构补正或者改正存在问题的行政执法文书。</w:t>
            </w:r>
          </w:p>
        </w:tc>
        <w:tc>
          <w:tcPr>
            <w:tcW w:w="4043" w:type="dxa"/>
            <w:noWrap w:val="0"/>
            <w:vAlign w:val="center"/>
          </w:tcPr>
          <w:p w14:paraId="584ED81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05BA4DE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562376D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4CF623B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3115A84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52A34B4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5CF6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5" w:hRule="atLeast"/>
        </w:trPr>
        <w:tc>
          <w:tcPr>
            <w:tcW w:w="504" w:type="dxa"/>
            <w:noWrap w:val="0"/>
            <w:vAlign w:val="center"/>
          </w:tcPr>
          <w:p w14:paraId="7D43CF0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17</w:t>
            </w:r>
          </w:p>
        </w:tc>
        <w:tc>
          <w:tcPr>
            <w:tcW w:w="929" w:type="dxa"/>
            <w:noWrap w:val="0"/>
            <w:vAlign w:val="center"/>
          </w:tcPr>
          <w:p w14:paraId="62DAE1F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监督行政执法机关罚缴分离和收支两条线管理制度执行情况</w:t>
            </w:r>
          </w:p>
        </w:tc>
        <w:tc>
          <w:tcPr>
            <w:tcW w:w="969" w:type="dxa"/>
            <w:noWrap w:val="0"/>
            <w:vAlign w:val="center"/>
          </w:tcPr>
          <w:p w14:paraId="25AADE9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E01A54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FB5376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5873DD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77F7A5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对乡镇执行罚缴分离和收支两条线管理制度的情况进行监督；对监督过程中存在的有关问题，有权提出初步执法监督意见提报县级行政执法监督机构协调处理。</w:t>
            </w:r>
          </w:p>
        </w:tc>
        <w:tc>
          <w:tcPr>
            <w:tcW w:w="4043" w:type="dxa"/>
            <w:noWrap w:val="0"/>
            <w:vAlign w:val="center"/>
          </w:tcPr>
          <w:p w14:paraId="135B781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B3452C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05B2AF3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171A13D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4A44D9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2578078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64E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5" w:hRule="atLeast"/>
        </w:trPr>
        <w:tc>
          <w:tcPr>
            <w:tcW w:w="504" w:type="dxa"/>
            <w:noWrap w:val="0"/>
            <w:vAlign w:val="center"/>
          </w:tcPr>
          <w:p w14:paraId="3B91160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18</w:t>
            </w:r>
          </w:p>
        </w:tc>
        <w:tc>
          <w:tcPr>
            <w:tcW w:w="929" w:type="dxa"/>
            <w:noWrap w:val="0"/>
            <w:vAlign w:val="center"/>
          </w:tcPr>
          <w:p w14:paraId="067F9B5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对监督检查中发现的违法或者不当行政执法行为的处理</w:t>
            </w:r>
          </w:p>
        </w:tc>
        <w:tc>
          <w:tcPr>
            <w:tcW w:w="969" w:type="dxa"/>
            <w:noWrap w:val="0"/>
            <w:vAlign w:val="center"/>
          </w:tcPr>
          <w:p w14:paraId="735C167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75436BF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64231D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2513F75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59801F4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监督指导乡镇及时纠正违法或者不当行政执法行为；对监督检查中发现的乡镇存在违法或者不当行政执法行为的，有权提出初步执法监督意见提报县级行政执法监督机构协调处</w:t>
            </w:r>
          </w:p>
          <w:p w14:paraId="22521D4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理。</w:t>
            </w:r>
          </w:p>
        </w:tc>
        <w:tc>
          <w:tcPr>
            <w:tcW w:w="4043" w:type="dxa"/>
            <w:noWrap w:val="0"/>
            <w:vAlign w:val="center"/>
          </w:tcPr>
          <w:p w14:paraId="62A4571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2538837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8C387C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7FD8A37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649F29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02A5AB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64BC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0" w:hRule="atLeast"/>
        </w:trPr>
        <w:tc>
          <w:tcPr>
            <w:tcW w:w="504" w:type="dxa"/>
            <w:noWrap w:val="0"/>
            <w:vAlign w:val="center"/>
          </w:tcPr>
          <w:p w14:paraId="0B1C433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19</w:t>
            </w:r>
          </w:p>
        </w:tc>
        <w:tc>
          <w:tcPr>
            <w:tcW w:w="929" w:type="dxa"/>
            <w:noWrap w:val="0"/>
            <w:vAlign w:val="center"/>
          </w:tcPr>
          <w:p w14:paraId="7C6B2E0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对逾期不履行行政执法监督意见的处理</w:t>
            </w:r>
          </w:p>
        </w:tc>
        <w:tc>
          <w:tcPr>
            <w:tcW w:w="969" w:type="dxa"/>
            <w:noWrap w:val="0"/>
            <w:vAlign w:val="center"/>
          </w:tcPr>
          <w:p w14:paraId="3372B23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262AEAD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937C1E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31E64A0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590C2C1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监督指导乡镇及时纠正违法或者不当行政执法行为；对监督过程中存在的有关问题，有权提出初步执法监督意见提报县级行政执法监督机构协调处理。</w:t>
            </w:r>
          </w:p>
        </w:tc>
        <w:tc>
          <w:tcPr>
            <w:tcW w:w="4043" w:type="dxa"/>
            <w:noWrap w:val="0"/>
            <w:vAlign w:val="center"/>
          </w:tcPr>
          <w:p w14:paraId="0CCD8F9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33DA1C1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06D05B0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42631E8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3D49FDE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5E43D0C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B0AC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5" w:hRule="atLeast"/>
        </w:trPr>
        <w:tc>
          <w:tcPr>
            <w:tcW w:w="504" w:type="dxa"/>
            <w:noWrap w:val="0"/>
            <w:vAlign w:val="center"/>
          </w:tcPr>
          <w:p w14:paraId="42614DC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20</w:t>
            </w:r>
          </w:p>
        </w:tc>
        <w:tc>
          <w:tcPr>
            <w:tcW w:w="929" w:type="dxa"/>
            <w:noWrap w:val="0"/>
            <w:vAlign w:val="center"/>
          </w:tcPr>
          <w:p w14:paraId="30500CD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p>
          <w:p w14:paraId="39A3B75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拒绝或者阻碍行政执法监督工作开展的处理</w:t>
            </w:r>
          </w:p>
        </w:tc>
        <w:tc>
          <w:tcPr>
            <w:tcW w:w="969" w:type="dxa"/>
            <w:noWrap w:val="0"/>
            <w:vAlign w:val="center"/>
          </w:tcPr>
          <w:p w14:paraId="24EC5F3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D3E279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5AAEEDD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A6D969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07850EC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监督指导乡镇配合做好行政执法监督工作；对监督过程中发现的有关问题，有权提出初步执法监督意见后提报县级行政执法监督机构处理。</w:t>
            </w:r>
          </w:p>
        </w:tc>
        <w:tc>
          <w:tcPr>
            <w:tcW w:w="4043" w:type="dxa"/>
            <w:noWrap w:val="0"/>
            <w:vAlign w:val="center"/>
          </w:tcPr>
          <w:p w14:paraId="26B831D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668D7C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7F086BC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30865EB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1182091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6B2F6D4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588C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0" w:hRule="atLeast"/>
        </w:trPr>
        <w:tc>
          <w:tcPr>
            <w:tcW w:w="504" w:type="dxa"/>
            <w:noWrap w:val="0"/>
            <w:vAlign w:val="center"/>
          </w:tcPr>
          <w:p w14:paraId="20C74EB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21</w:t>
            </w:r>
          </w:p>
        </w:tc>
        <w:tc>
          <w:tcPr>
            <w:tcW w:w="929" w:type="dxa"/>
            <w:noWrap w:val="0"/>
            <w:vAlign w:val="center"/>
          </w:tcPr>
          <w:p w14:paraId="5A125D6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监督行政执法监督处理决定有效执行</w:t>
            </w:r>
          </w:p>
        </w:tc>
        <w:tc>
          <w:tcPr>
            <w:tcW w:w="969" w:type="dxa"/>
            <w:noWrap w:val="0"/>
            <w:vAlign w:val="center"/>
          </w:tcPr>
          <w:p w14:paraId="3A83D12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47F41F9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44EB8AE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179928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710263C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监督指导乡镇严格落实行政执法监督处理决定，依法报告处理决定履行情况；对监督过程中存在的有关问题，有权提出初步执法监督意见提报县级行政执法监督机构协调处理。</w:t>
            </w:r>
          </w:p>
        </w:tc>
        <w:tc>
          <w:tcPr>
            <w:tcW w:w="4043" w:type="dxa"/>
            <w:noWrap w:val="0"/>
            <w:vAlign w:val="center"/>
          </w:tcPr>
          <w:p w14:paraId="0E99197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116099C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0FC95C2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0E48F90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06C59CB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1AD0483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59583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0" w:hRule="atLeast"/>
        </w:trPr>
        <w:tc>
          <w:tcPr>
            <w:tcW w:w="504" w:type="dxa"/>
            <w:noWrap w:val="0"/>
            <w:vAlign w:val="center"/>
          </w:tcPr>
          <w:p w14:paraId="4D98C18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22</w:t>
            </w:r>
          </w:p>
        </w:tc>
        <w:tc>
          <w:tcPr>
            <w:tcW w:w="929" w:type="dxa"/>
            <w:noWrap w:val="0"/>
            <w:vAlign w:val="center"/>
          </w:tcPr>
          <w:p w14:paraId="445084E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对违法或者不当行政执法行为线索以及群众批评建议的收集分析</w:t>
            </w:r>
          </w:p>
        </w:tc>
        <w:tc>
          <w:tcPr>
            <w:tcW w:w="969" w:type="dxa"/>
            <w:noWrap w:val="0"/>
            <w:vAlign w:val="center"/>
          </w:tcPr>
          <w:p w14:paraId="419C6B1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44AB14D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0AEE74E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79DEB4C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0D035E0D">
            <w:pPr>
              <w:keepNext w:val="0"/>
              <w:keepLines/>
              <w:pageBreakBefore w:val="0"/>
              <w:widowControl w:val="0"/>
              <w:kinsoku w:val="0"/>
              <w:wordWrap w:val="0"/>
              <w:overflowPunct w:val="0"/>
              <w:topLinePunct/>
              <w:autoSpaceDE w:val="0"/>
              <w:autoSpaceDN w:val="0"/>
              <w:bidi w:val="0"/>
              <w:adjustRightInd w:val="0"/>
              <w:snapToGrid w:val="0"/>
              <w:spacing w:line="36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收集、上报乡镇在推行行政执法“三项制度”，执法不作为、乱作为，选择性执法、执法不公，不文明执法、“暴力执法”，行政执法队伍规范化制度化建设和行政执法人员培训以及行政执法监督等方面的线索和群众建议。</w:t>
            </w:r>
          </w:p>
        </w:tc>
        <w:tc>
          <w:tcPr>
            <w:tcW w:w="4043" w:type="dxa"/>
            <w:noWrap w:val="0"/>
            <w:vAlign w:val="center"/>
          </w:tcPr>
          <w:p w14:paraId="508100B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01FF596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5A2170F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2A20EBA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left"/>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62F9DF0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1E939E7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0DA19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5" w:hRule="atLeast"/>
        </w:trPr>
        <w:tc>
          <w:tcPr>
            <w:tcW w:w="504" w:type="dxa"/>
            <w:noWrap w:val="0"/>
            <w:vAlign w:val="center"/>
          </w:tcPr>
          <w:p w14:paraId="36C46E9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23</w:t>
            </w:r>
          </w:p>
        </w:tc>
        <w:tc>
          <w:tcPr>
            <w:tcW w:w="929" w:type="dxa"/>
            <w:noWrap w:val="0"/>
            <w:vAlign w:val="center"/>
          </w:tcPr>
          <w:p w14:paraId="4B98C68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监督行政执法事项和行政执法行为网上运行情况</w:t>
            </w:r>
          </w:p>
        </w:tc>
        <w:tc>
          <w:tcPr>
            <w:tcW w:w="969" w:type="dxa"/>
            <w:noWrap w:val="0"/>
            <w:vAlign w:val="center"/>
          </w:tcPr>
          <w:p w14:paraId="557AD21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366418F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0928C38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752062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678010C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监督指导乡镇行政执法监督信息化系统建设工作；督导调度乡镇行政执法事项和行政执法行为网上运行情况；</w:t>
            </w:r>
          </w:p>
        </w:tc>
        <w:tc>
          <w:tcPr>
            <w:tcW w:w="4043" w:type="dxa"/>
            <w:noWrap w:val="0"/>
            <w:vAlign w:val="center"/>
          </w:tcPr>
          <w:p w14:paraId="12AEBD6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2FABC26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1DA2AF8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52D5F78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6B6A3A6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28A3D08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40D11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5" w:hRule="atLeast"/>
        </w:trPr>
        <w:tc>
          <w:tcPr>
            <w:tcW w:w="504" w:type="dxa"/>
            <w:noWrap w:val="0"/>
            <w:vAlign w:val="center"/>
          </w:tcPr>
          <w:p w14:paraId="6098D97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24</w:t>
            </w:r>
          </w:p>
        </w:tc>
        <w:tc>
          <w:tcPr>
            <w:tcW w:w="929" w:type="dxa"/>
            <w:noWrap w:val="0"/>
            <w:vAlign w:val="center"/>
          </w:tcPr>
          <w:p w14:paraId="5526625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监督行政执法监督年度工作计划制定情况</w:t>
            </w:r>
          </w:p>
        </w:tc>
        <w:tc>
          <w:tcPr>
            <w:tcW w:w="969" w:type="dxa"/>
            <w:noWrap w:val="0"/>
            <w:vAlign w:val="center"/>
          </w:tcPr>
          <w:p w14:paraId="162D25C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525F847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786C8B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03AA8D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024B09C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参照市县行政执法监督年度计划，制定乡镇行政执法监督年度计划，并严格落实。</w:t>
            </w:r>
          </w:p>
        </w:tc>
        <w:tc>
          <w:tcPr>
            <w:tcW w:w="4043" w:type="dxa"/>
            <w:noWrap w:val="0"/>
            <w:vAlign w:val="center"/>
          </w:tcPr>
          <w:p w14:paraId="2260BCA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1EFAF72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594CAB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15A828D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257F13B9">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92B9F0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1C74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5" w:hRule="atLeast"/>
        </w:trPr>
        <w:tc>
          <w:tcPr>
            <w:tcW w:w="504" w:type="dxa"/>
            <w:noWrap w:val="0"/>
            <w:vAlign w:val="center"/>
          </w:tcPr>
          <w:p w14:paraId="53E961C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25</w:t>
            </w:r>
          </w:p>
        </w:tc>
        <w:tc>
          <w:tcPr>
            <w:tcW w:w="929" w:type="dxa"/>
            <w:noWrap w:val="0"/>
            <w:vAlign w:val="center"/>
          </w:tcPr>
          <w:p w14:paraId="14C9BC3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监督将行政执法监督工作纳入绩效考核的情况</w:t>
            </w:r>
          </w:p>
        </w:tc>
        <w:tc>
          <w:tcPr>
            <w:tcW w:w="969" w:type="dxa"/>
            <w:noWrap w:val="0"/>
            <w:vAlign w:val="center"/>
          </w:tcPr>
          <w:p w14:paraId="2EB99F6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54A2312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48B50FC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0EE390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295ED36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指导乡镇落实行政执法监督工作情况。</w:t>
            </w:r>
          </w:p>
        </w:tc>
        <w:tc>
          <w:tcPr>
            <w:tcW w:w="4043" w:type="dxa"/>
            <w:noWrap w:val="0"/>
            <w:vAlign w:val="center"/>
          </w:tcPr>
          <w:p w14:paraId="3D94792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474E5D7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2724C86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1F2278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640AF75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5FFE930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33389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5" w:hRule="atLeast"/>
        </w:trPr>
        <w:tc>
          <w:tcPr>
            <w:tcW w:w="504" w:type="dxa"/>
            <w:noWrap w:val="0"/>
            <w:vAlign w:val="center"/>
          </w:tcPr>
          <w:p w14:paraId="216F758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26</w:t>
            </w:r>
          </w:p>
        </w:tc>
        <w:tc>
          <w:tcPr>
            <w:tcW w:w="929" w:type="dxa"/>
            <w:noWrap w:val="0"/>
            <w:vAlign w:val="center"/>
          </w:tcPr>
          <w:p w14:paraId="6658D68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对权责清单以及行政许可事项清单等的合法性审查</w:t>
            </w:r>
          </w:p>
        </w:tc>
        <w:tc>
          <w:tcPr>
            <w:tcW w:w="969" w:type="dxa"/>
            <w:noWrap w:val="0"/>
            <w:vAlign w:val="center"/>
          </w:tcPr>
          <w:p w14:paraId="74CB500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65337854">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4945FA3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BD1388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6E9AE7B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负责对乡镇权责清单进行合法性初审。</w:t>
            </w:r>
          </w:p>
        </w:tc>
        <w:tc>
          <w:tcPr>
            <w:tcW w:w="4043" w:type="dxa"/>
            <w:noWrap w:val="0"/>
            <w:vAlign w:val="center"/>
          </w:tcPr>
          <w:p w14:paraId="13DBA8A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6AC74EE2">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710702F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4BBBFE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036451A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5B3EBC4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04E3E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0" w:hRule="atLeast"/>
        </w:trPr>
        <w:tc>
          <w:tcPr>
            <w:tcW w:w="504" w:type="dxa"/>
            <w:noWrap w:val="0"/>
            <w:vAlign w:val="center"/>
          </w:tcPr>
          <w:p w14:paraId="12C2928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27</w:t>
            </w:r>
          </w:p>
        </w:tc>
        <w:tc>
          <w:tcPr>
            <w:tcW w:w="929" w:type="dxa"/>
            <w:noWrap w:val="0"/>
            <w:vAlign w:val="center"/>
          </w:tcPr>
          <w:p w14:paraId="21C055F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监督行政裁决制度的落实情况</w:t>
            </w:r>
          </w:p>
        </w:tc>
        <w:tc>
          <w:tcPr>
            <w:tcW w:w="969" w:type="dxa"/>
            <w:noWrap w:val="0"/>
            <w:vAlign w:val="center"/>
          </w:tcPr>
          <w:p w14:paraId="00E3279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3F6B3BE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4C2B82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E0418D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6AB5CF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负责乡镇涉及行政裁决事项的收集、上报。</w:t>
            </w:r>
          </w:p>
        </w:tc>
        <w:tc>
          <w:tcPr>
            <w:tcW w:w="4043" w:type="dxa"/>
            <w:noWrap w:val="0"/>
            <w:vAlign w:val="center"/>
          </w:tcPr>
          <w:p w14:paraId="0F30C84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5A9ABD2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028A53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4584C7D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E9B9EB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47081F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7E24A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0" w:hRule="atLeast"/>
        </w:trPr>
        <w:tc>
          <w:tcPr>
            <w:tcW w:w="504" w:type="dxa"/>
            <w:noWrap w:val="0"/>
            <w:vAlign w:val="center"/>
          </w:tcPr>
          <w:p w14:paraId="5E4015C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28</w:t>
            </w:r>
          </w:p>
        </w:tc>
        <w:tc>
          <w:tcPr>
            <w:tcW w:w="929" w:type="dxa"/>
            <w:noWrap w:val="0"/>
            <w:vAlign w:val="center"/>
          </w:tcPr>
          <w:p w14:paraId="15C2A79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监督“两法”衔接制度的落实情况</w:t>
            </w:r>
          </w:p>
        </w:tc>
        <w:tc>
          <w:tcPr>
            <w:tcW w:w="969" w:type="dxa"/>
            <w:noWrap w:val="0"/>
            <w:vAlign w:val="center"/>
          </w:tcPr>
          <w:p w14:paraId="62F140E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5"/>
                <w:sz w:val="21"/>
                <w:szCs w:val="21"/>
                <w:lang w:eastAsia="zh-CN"/>
              </w:rPr>
              <w:t>执法监督</w:t>
            </w:r>
          </w:p>
        </w:tc>
        <w:tc>
          <w:tcPr>
            <w:tcW w:w="2714" w:type="dxa"/>
            <w:noWrap w:val="0"/>
            <w:vAlign w:val="center"/>
          </w:tcPr>
          <w:p w14:paraId="3379D71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329DDA4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3E4716D3">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57893B1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对乡镇落实“两法”衔接制度情况进行监督；严格落实行政处罚案件移送制度，督促指导乡镇与司法机关加强协调配合，积极履行移送义务，完善信息通报机制。</w:t>
            </w:r>
          </w:p>
        </w:tc>
        <w:tc>
          <w:tcPr>
            <w:tcW w:w="4043" w:type="dxa"/>
            <w:noWrap w:val="0"/>
            <w:vAlign w:val="center"/>
          </w:tcPr>
          <w:p w14:paraId="399A492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63C0047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2D21E9A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76A2113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5EF213E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DC3BCD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69A6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0" w:hRule="atLeast"/>
        </w:trPr>
        <w:tc>
          <w:tcPr>
            <w:tcW w:w="504" w:type="dxa"/>
            <w:noWrap w:val="0"/>
            <w:vAlign w:val="center"/>
          </w:tcPr>
          <w:p w14:paraId="7D73790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29</w:t>
            </w:r>
          </w:p>
        </w:tc>
        <w:tc>
          <w:tcPr>
            <w:tcW w:w="929" w:type="dxa"/>
            <w:noWrap w:val="0"/>
            <w:vAlign w:val="center"/>
          </w:tcPr>
          <w:p w14:paraId="7307B21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提请有关单位予以协助</w:t>
            </w:r>
          </w:p>
        </w:tc>
        <w:tc>
          <w:tcPr>
            <w:tcW w:w="969" w:type="dxa"/>
            <w:noWrap w:val="0"/>
            <w:vAlign w:val="center"/>
          </w:tcPr>
          <w:p w14:paraId="2D52A19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spacing w:val="8"/>
                <w:sz w:val="21"/>
                <w:szCs w:val="21"/>
                <w:lang w:eastAsia="zh-CN"/>
              </w:rPr>
              <w:t>行政协调</w:t>
            </w:r>
          </w:p>
        </w:tc>
        <w:tc>
          <w:tcPr>
            <w:tcW w:w="2714" w:type="dxa"/>
            <w:noWrap w:val="0"/>
            <w:vAlign w:val="center"/>
          </w:tcPr>
          <w:p w14:paraId="1C264CC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65977E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D2A76C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6DFEFF8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依据行政执法监督职责，在辖区范围内开展协助；配合县级执法协调监督机构做好跨行政区域协助事项的有关工作。</w:t>
            </w:r>
          </w:p>
        </w:tc>
        <w:tc>
          <w:tcPr>
            <w:tcW w:w="4043" w:type="dxa"/>
            <w:noWrap w:val="0"/>
            <w:vAlign w:val="center"/>
          </w:tcPr>
          <w:p w14:paraId="7F21DFB9">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0451D69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A8E5C2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58F3866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05FF218A">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42F0DE7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1D336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0" w:hRule="atLeast"/>
        </w:trPr>
        <w:tc>
          <w:tcPr>
            <w:tcW w:w="504" w:type="dxa"/>
            <w:noWrap w:val="0"/>
            <w:vAlign w:val="center"/>
          </w:tcPr>
          <w:p w14:paraId="4CA4180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30</w:t>
            </w:r>
          </w:p>
        </w:tc>
        <w:tc>
          <w:tcPr>
            <w:tcW w:w="929" w:type="dxa"/>
            <w:noWrap w:val="0"/>
            <w:vAlign w:val="center"/>
          </w:tcPr>
          <w:p w14:paraId="29F473B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协调行政执法争议</w:t>
            </w:r>
          </w:p>
        </w:tc>
        <w:tc>
          <w:tcPr>
            <w:tcW w:w="969" w:type="dxa"/>
            <w:noWrap w:val="0"/>
            <w:vAlign w:val="center"/>
          </w:tcPr>
          <w:p w14:paraId="721D36F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行政协调</w:t>
            </w:r>
          </w:p>
        </w:tc>
        <w:tc>
          <w:tcPr>
            <w:tcW w:w="2714" w:type="dxa"/>
            <w:noWrap w:val="0"/>
            <w:vAlign w:val="center"/>
          </w:tcPr>
          <w:p w14:paraId="479A097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52BFDB5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4A0FD68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1BA7946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负责乡镇行政执法争议的收集上报。</w:t>
            </w:r>
          </w:p>
        </w:tc>
        <w:tc>
          <w:tcPr>
            <w:tcW w:w="4043" w:type="dxa"/>
            <w:noWrap w:val="0"/>
            <w:vAlign w:val="center"/>
          </w:tcPr>
          <w:p w14:paraId="177C6B9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54B7FC9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258380DF">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DE3AA66">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3180F42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77105966">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2BFCF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0" w:hRule="atLeast"/>
        </w:trPr>
        <w:tc>
          <w:tcPr>
            <w:tcW w:w="504" w:type="dxa"/>
            <w:noWrap w:val="0"/>
            <w:vAlign w:val="center"/>
          </w:tcPr>
          <w:p w14:paraId="2DC81D2D">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31</w:t>
            </w:r>
          </w:p>
        </w:tc>
        <w:tc>
          <w:tcPr>
            <w:tcW w:w="929" w:type="dxa"/>
            <w:noWrap w:val="0"/>
            <w:vAlign w:val="center"/>
          </w:tcPr>
          <w:p w14:paraId="51398087">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协调行政执法存在的普遍性、重要性问题</w:t>
            </w:r>
          </w:p>
        </w:tc>
        <w:tc>
          <w:tcPr>
            <w:tcW w:w="969" w:type="dxa"/>
            <w:noWrap w:val="0"/>
            <w:vAlign w:val="center"/>
          </w:tcPr>
          <w:p w14:paraId="334A09E5">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行政协调</w:t>
            </w:r>
          </w:p>
        </w:tc>
        <w:tc>
          <w:tcPr>
            <w:tcW w:w="2714" w:type="dxa"/>
            <w:noWrap w:val="0"/>
            <w:vAlign w:val="center"/>
          </w:tcPr>
          <w:p w14:paraId="0E6E702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27C8B230">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195ABA3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095762C">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负责乡镇层面行政执法普遍性、重要性问题的协调、上报。</w:t>
            </w:r>
          </w:p>
        </w:tc>
        <w:tc>
          <w:tcPr>
            <w:tcW w:w="4043" w:type="dxa"/>
            <w:noWrap w:val="0"/>
            <w:vAlign w:val="center"/>
          </w:tcPr>
          <w:p w14:paraId="13ABCFEB">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53B6E458">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717E8AF1">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3CFF67BD">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4B6FF8DE">
            <w:pPr>
              <w:keepNext w:val="0"/>
              <w:keepLines/>
              <w:pageBreakBefore w:val="0"/>
              <w:widowControl w:val="0"/>
              <w:kinsoku w:val="0"/>
              <w:wordWrap w:val="0"/>
              <w:overflowPunct w:val="0"/>
              <w:topLinePunct/>
              <w:autoSpaceDE w:val="0"/>
              <w:autoSpaceDN w:val="0"/>
              <w:bidi w:val="0"/>
              <w:adjustRightInd w:val="0"/>
              <w:snapToGrid w:val="0"/>
              <w:spacing w:line="30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3A640B3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5BBAE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5" w:hRule="atLeast"/>
        </w:trPr>
        <w:tc>
          <w:tcPr>
            <w:tcW w:w="504" w:type="dxa"/>
            <w:noWrap w:val="0"/>
            <w:vAlign w:val="center"/>
          </w:tcPr>
          <w:p w14:paraId="6226B87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32</w:t>
            </w:r>
          </w:p>
        </w:tc>
        <w:tc>
          <w:tcPr>
            <w:tcW w:w="929" w:type="dxa"/>
            <w:noWrap w:val="0"/>
            <w:vAlign w:val="center"/>
          </w:tcPr>
          <w:p w14:paraId="09E20EE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共享行政执法信息资源的协调</w:t>
            </w:r>
          </w:p>
        </w:tc>
        <w:tc>
          <w:tcPr>
            <w:tcW w:w="969" w:type="dxa"/>
            <w:noWrap w:val="0"/>
            <w:vAlign w:val="center"/>
          </w:tcPr>
          <w:p w14:paraId="5DC831DF">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行政协调</w:t>
            </w:r>
          </w:p>
        </w:tc>
        <w:tc>
          <w:tcPr>
            <w:tcW w:w="2714" w:type="dxa"/>
            <w:noWrap w:val="0"/>
            <w:vAlign w:val="center"/>
          </w:tcPr>
          <w:p w14:paraId="46F5BA5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1FB9D84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6698AA7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623CA38">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负责与本级监察机构开展协作配合；做好所需执法数据的汇总整理。</w:t>
            </w:r>
          </w:p>
        </w:tc>
        <w:tc>
          <w:tcPr>
            <w:tcW w:w="4043" w:type="dxa"/>
            <w:noWrap w:val="0"/>
            <w:vAlign w:val="center"/>
          </w:tcPr>
          <w:p w14:paraId="68314F6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5FA047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5395FF0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77F3342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795B4D77">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6611056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r w14:paraId="7E507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0" w:hRule="atLeast"/>
        </w:trPr>
        <w:tc>
          <w:tcPr>
            <w:tcW w:w="504" w:type="dxa"/>
            <w:noWrap w:val="0"/>
            <w:vAlign w:val="center"/>
          </w:tcPr>
          <w:p w14:paraId="50DDE4A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center"/>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33</w:t>
            </w:r>
          </w:p>
        </w:tc>
        <w:tc>
          <w:tcPr>
            <w:tcW w:w="929" w:type="dxa"/>
            <w:noWrap w:val="0"/>
            <w:vAlign w:val="center"/>
          </w:tcPr>
          <w:p w14:paraId="796AA5E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对政府职能转变、放管服等改革措施的协调</w:t>
            </w:r>
          </w:p>
        </w:tc>
        <w:tc>
          <w:tcPr>
            <w:tcW w:w="969" w:type="dxa"/>
            <w:noWrap w:val="0"/>
            <w:vAlign w:val="center"/>
          </w:tcPr>
          <w:p w14:paraId="243588A2">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行政协调</w:t>
            </w:r>
          </w:p>
        </w:tc>
        <w:tc>
          <w:tcPr>
            <w:tcW w:w="2714" w:type="dxa"/>
            <w:noWrap w:val="0"/>
            <w:vAlign w:val="center"/>
          </w:tcPr>
          <w:p w14:paraId="599FBA7B">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《全国司法所工作规范》6.6.2开展行政执法协调监督工作探索开展行政执法协调监督有关工作，推进乡（镇）严格规范公正文明执法。</w:t>
            </w:r>
          </w:p>
          <w:p w14:paraId="63BCBE9A">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《福建省行政执法条例》第六十三、六十四、六十五条</w:t>
            </w:r>
          </w:p>
        </w:tc>
        <w:tc>
          <w:tcPr>
            <w:tcW w:w="1006" w:type="dxa"/>
            <w:noWrap w:val="0"/>
            <w:vAlign w:val="center"/>
          </w:tcPr>
          <w:p w14:paraId="5474DA44">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spacing w:val="-20"/>
                <w:sz w:val="21"/>
              </w:rPr>
              <w:t>乡（镇）级</w:t>
            </w:r>
          </w:p>
        </w:tc>
        <w:tc>
          <w:tcPr>
            <w:tcW w:w="2431" w:type="dxa"/>
            <w:noWrap w:val="0"/>
            <w:vAlign w:val="center"/>
          </w:tcPr>
          <w:p w14:paraId="303F51C0">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负责乡镇政府职能转变、放管服等改革措施的法制协调工作。</w:t>
            </w:r>
          </w:p>
        </w:tc>
        <w:tc>
          <w:tcPr>
            <w:tcW w:w="4043" w:type="dxa"/>
            <w:noWrap w:val="0"/>
            <w:vAlign w:val="center"/>
          </w:tcPr>
          <w:p w14:paraId="3EE112E5">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行政执法监督人员有下列行为之一的，给予批评教育、效能问责；情节严重的，依法给予处分；构成犯罪的，依法追究刑事责任：</w:t>
            </w:r>
          </w:p>
          <w:p w14:paraId="79B2918E">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（一）不依法履行行政执法监督职责的；</w:t>
            </w:r>
          </w:p>
          <w:p w14:paraId="462CD531">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（二）利用行政执法监督职权谋取私利的；</w:t>
            </w:r>
          </w:p>
          <w:p w14:paraId="63566BB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（三）有其他滥用职权、玩忽职守、徇私舞弊行为的。</w:t>
            </w:r>
          </w:p>
        </w:tc>
        <w:tc>
          <w:tcPr>
            <w:tcW w:w="1001" w:type="dxa"/>
            <w:noWrap w:val="0"/>
            <w:vAlign w:val="center"/>
          </w:tcPr>
          <w:p w14:paraId="00184183">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8"/>
                <w:sz w:val="21"/>
                <w:szCs w:val="21"/>
              </w:rPr>
            </w:pPr>
            <w:r>
              <w:rPr>
                <w:rFonts w:hint="eastAsia" w:ascii="仿宋_GB2312" w:hAnsi="仿宋_GB2312" w:eastAsia="仿宋_GB2312" w:cs="仿宋_GB2312"/>
                <w:spacing w:val="8"/>
                <w:sz w:val="21"/>
                <w:szCs w:val="21"/>
              </w:rPr>
              <w:t>《福建省行政执法条例》第七十二条</w:t>
            </w:r>
          </w:p>
        </w:tc>
        <w:tc>
          <w:tcPr>
            <w:tcW w:w="559" w:type="dxa"/>
            <w:noWrap w:val="0"/>
            <w:vAlign w:val="center"/>
          </w:tcPr>
          <w:p w14:paraId="08363DFC">
            <w:pPr>
              <w:keepNext w:val="0"/>
              <w:keepLines/>
              <w:pageBreakBefore w:val="0"/>
              <w:widowControl w:val="0"/>
              <w:kinsoku w:val="0"/>
              <w:wordWrap w:val="0"/>
              <w:overflowPunct w:val="0"/>
              <w:topLinePunct/>
              <w:autoSpaceDE w:val="0"/>
              <w:autoSpaceDN w:val="0"/>
              <w:bidi w:val="0"/>
              <w:adjustRightInd w:val="0"/>
              <w:snapToGrid w:val="0"/>
              <w:spacing w:line="380" w:lineRule="exact"/>
              <w:ind w:left="0" w:leftChars="0" w:right="0"/>
              <w:jc w:val="both"/>
              <w:textAlignment w:val="baseline"/>
              <w:rPr>
                <w:rFonts w:hint="eastAsia" w:ascii="仿宋_GB2312" w:hAnsi="仿宋_GB2312" w:eastAsia="仿宋_GB2312" w:cs="仿宋_GB2312"/>
                <w:spacing w:val="5"/>
                <w:sz w:val="21"/>
                <w:szCs w:val="21"/>
              </w:rPr>
            </w:pPr>
          </w:p>
        </w:tc>
      </w:tr>
    </w:tbl>
    <w:p w14:paraId="5D44174A">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sectPr>
          <w:footerReference r:id="rId5" w:type="default"/>
          <w:pgSz w:w="16839" w:h="11906" w:orient="landscape"/>
          <w:pgMar w:top="1785" w:right="1431" w:bottom="1412" w:left="1334" w:header="0" w:footer="1020" w:gutter="0"/>
          <w:pgNumType w:fmt="decimal"/>
          <w:cols w:space="720" w:num="1"/>
        </w:sectPr>
      </w:pPr>
      <w:bookmarkStart w:id="0" w:name="_GoBack"/>
      <w:bookmarkEnd w:id="0"/>
    </w:p>
    <w:p w14:paraId="53A885CC">
      <w:pPr>
        <w:keepNext w:val="0"/>
        <w:keepLines w:val="0"/>
        <w:pageBreakBefore w:val="0"/>
        <w:widowControl/>
        <w:kinsoku/>
        <w:wordWrap/>
        <w:overflowPunct w:val="0"/>
        <w:topLinePunct w:val="0"/>
        <w:autoSpaceDE w:val="0"/>
        <w:autoSpaceDN w:val="0"/>
        <w:bidi w:val="0"/>
        <w:adjustRightInd w:val="0"/>
        <w:snapToGrid w:val="0"/>
        <w:spacing w:line="600" w:lineRule="exact"/>
        <w:textAlignment w:val="baseline"/>
        <w:rPr>
          <w:rFonts w:hint="default" w:ascii="仿宋_GB2312" w:hAnsi="仿宋_GB2312" w:eastAsia="仿宋_GB2312" w:cs="仿宋_GB2312"/>
          <w:sz w:val="32"/>
          <w:szCs w:val="32"/>
          <w:lang w:val="en-US" w:eastAsia="zh-CN"/>
        </w:rPr>
      </w:pPr>
    </w:p>
    <w:sectPr>
      <w:pgSz w:w="11906" w:h="16839"/>
      <w:pgMar w:top="1429" w:right="1412" w:bottom="1332" w:left="1785" w:header="0" w:footer="102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968B3">
    <w:pPr>
      <w:pStyle w:val="3"/>
      <w:spacing w:before="1" w:line="174" w:lineRule="auto"/>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-66040</wp:posOffset>
              </wp:positionV>
              <wp:extent cx="726440" cy="3422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2644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AC677">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6</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5.2pt;height:26.95pt;width:57.2pt;mso-position-horizontal:outside;mso-position-horizontal-relative:margin;z-index:251659264;mso-width-relative:page;mso-height-relative:page;" filled="f" stroked="f" coordsize="21600,21600" o:gfxdata="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v4OXp1gAAAAcBAAAPAAAAAAAAAAEAIAAAACIAAABkcnMvZG93bnJl&#10;di54bWxQSwECFAAUAAAACACHTuJAdXBgDzgCAABhBAAADgAAAAAAAAABACAAAAAlAQAAZHJzL2Uy&#10;b0RvYy54bWxQSwUGAAAAAAYABgBZAQAAzwUAAAAA&#10;">
              <v:fill on="f" focussize="0,0"/>
              <v:stroke on="f" weight="0.5pt"/>
              <v:imagedata o:title=""/>
              <o:lock v:ext="edit" aspectratio="f"/>
              <v:textbox inset="0mm,0mm,0mm,0mm">
                <w:txbxContent>
                  <w:p w14:paraId="38BAC677">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6</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EzODI1ZmM0MTE3ZmQ5NTVlODBiMWY1MmYyN2JlMTcifQ=="/>
  </w:docVars>
  <w:rsids>
    <w:rsidRoot w:val="00172A27"/>
    <w:rsid w:val="00EE0F95"/>
    <w:rsid w:val="010B0D13"/>
    <w:rsid w:val="0493291A"/>
    <w:rsid w:val="05155EFE"/>
    <w:rsid w:val="065626EE"/>
    <w:rsid w:val="065B3BFA"/>
    <w:rsid w:val="08D8353A"/>
    <w:rsid w:val="0DFFEBF4"/>
    <w:rsid w:val="0E2E612A"/>
    <w:rsid w:val="10684CB8"/>
    <w:rsid w:val="11216E14"/>
    <w:rsid w:val="13A06858"/>
    <w:rsid w:val="15B76EC1"/>
    <w:rsid w:val="1883402C"/>
    <w:rsid w:val="1A4F77ED"/>
    <w:rsid w:val="1BED4DEC"/>
    <w:rsid w:val="1EFE19E5"/>
    <w:rsid w:val="1F124663"/>
    <w:rsid w:val="1F417883"/>
    <w:rsid w:val="1FEE269F"/>
    <w:rsid w:val="24320101"/>
    <w:rsid w:val="27965790"/>
    <w:rsid w:val="2A3E1C66"/>
    <w:rsid w:val="2A803BEE"/>
    <w:rsid w:val="2B0B52DF"/>
    <w:rsid w:val="2D1F5FD5"/>
    <w:rsid w:val="2F214344"/>
    <w:rsid w:val="2FF3707F"/>
    <w:rsid w:val="322657FB"/>
    <w:rsid w:val="350D7707"/>
    <w:rsid w:val="35F7FFC7"/>
    <w:rsid w:val="377F12BB"/>
    <w:rsid w:val="37FD7CB1"/>
    <w:rsid w:val="38E06A50"/>
    <w:rsid w:val="39DC2C32"/>
    <w:rsid w:val="3A1417D0"/>
    <w:rsid w:val="3AF50C56"/>
    <w:rsid w:val="3BCF70CD"/>
    <w:rsid w:val="3C15041F"/>
    <w:rsid w:val="3CEBC159"/>
    <w:rsid w:val="3D290C84"/>
    <w:rsid w:val="3D4A5F56"/>
    <w:rsid w:val="3EFD40E9"/>
    <w:rsid w:val="3F1BAD02"/>
    <w:rsid w:val="3FFC33D1"/>
    <w:rsid w:val="3FFD6B97"/>
    <w:rsid w:val="3FFFF62E"/>
    <w:rsid w:val="46E4344A"/>
    <w:rsid w:val="47751A21"/>
    <w:rsid w:val="49876691"/>
    <w:rsid w:val="4ADFE4EE"/>
    <w:rsid w:val="4BB0150F"/>
    <w:rsid w:val="4F7FF621"/>
    <w:rsid w:val="510711FF"/>
    <w:rsid w:val="54563E49"/>
    <w:rsid w:val="570745B7"/>
    <w:rsid w:val="57AF5C79"/>
    <w:rsid w:val="57F7AC62"/>
    <w:rsid w:val="589857DE"/>
    <w:rsid w:val="5A0F3A5D"/>
    <w:rsid w:val="5CA763F5"/>
    <w:rsid w:val="5EEF0078"/>
    <w:rsid w:val="5EFAEE10"/>
    <w:rsid w:val="5FB26DB1"/>
    <w:rsid w:val="5FD3D90C"/>
    <w:rsid w:val="5FDE1F41"/>
    <w:rsid w:val="609C03B8"/>
    <w:rsid w:val="63FC43F6"/>
    <w:rsid w:val="645C2560"/>
    <w:rsid w:val="67FF7444"/>
    <w:rsid w:val="69DD3FAA"/>
    <w:rsid w:val="69FE467B"/>
    <w:rsid w:val="6AA84736"/>
    <w:rsid w:val="6DAC9D99"/>
    <w:rsid w:val="6E79DB70"/>
    <w:rsid w:val="6EF74278"/>
    <w:rsid w:val="6FEF787B"/>
    <w:rsid w:val="70D71B30"/>
    <w:rsid w:val="72FD6A56"/>
    <w:rsid w:val="737B762F"/>
    <w:rsid w:val="73FFA7F7"/>
    <w:rsid w:val="7515264E"/>
    <w:rsid w:val="76D3D553"/>
    <w:rsid w:val="77C781A0"/>
    <w:rsid w:val="78F60D60"/>
    <w:rsid w:val="79587557"/>
    <w:rsid w:val="795A5316"/>
    <w:rsid w:val="7A4B5AB2"/>
    <w:rsid w:val="7B793F9B"/>
    <w:rsid w:val="7BFFB2E9"/>
    <w:rsid w:val="7DA61F6B"/>
    <w:rsid w:val="7DFE77B7"/>
    <w:rsid w:val="7E4A3549"/>
    <w:rsid w:val="7F2BED29"/>
    <w:rsid w:val="7F3F3273"/>
    <w:rsid w:val="7F5BFB80"/>
    <w:rsid w:val="7F5F4F8E"/>
    <w:rsid w:val="7FCF1B11"/>
    <w:rsid w:val="7FF7268D"/>
    <w:rsid w:val="7FFF1839"/>
    <w:rsid w:val="7FFF1EAB"/>
    <w:rsid w:val="7FFFA012"/>
    <w:rsid w:val="9F3F090D"/>
    <w:rsid w:val="9FCEB788"/>
    <w:rsid w:val="AEE56E78"/>
    <w:rsid w:val="B9E1E778"/>
    <w:rsid w:val="BBDF67BE"/>
    <w:rsid w:val="BDD1099D"/>
    <w:rsid w:val="BFBF805E"/>
    <w:rsid w:val="CFAF44BF"/>
    <w:rsid w:val="CFBBC921"/>
    <w:rsid w:val="D38C9C8B"/>
    <w:rsid w:val="DBBF3A58"/>
    <w:rsid w:val="DD373A5E"/>
    <w:rsid w:val="DDDD2533"/>
    <w:rsid w:val="DDFFF933"/>
    <w:rsid w:val="DFBF43E1"/>
    <w:rsid w:val="DFFA0EAB"/>
    <w:rsid w:val="E67CA91E"/>
    <w:rsid w:val="E7E97E50"/>
    <w:rsid w:val="E9E884BD"/>
    <w:rsid w:val="ECDB3A52"/>
    <w:rsid w:val="EDDB1625"/>
    <w:rsid w:val="EDE693AF"/>
    <w:rsid w:val="EDE742DD"/>
    <w:rsid w:val="EDFB4950"/>
    <w:rsid w:val="F26F34EE"/>
    <w:rsid w:val="F3375FC0"/>
    <w:rsid w:val="F75F7938"/>
    <w:rsid w:val="F86DD69C"/>
    <w:rsid w:val="F9CF25C0"/>
    <w:rsid w:val="FA7FEEA5"/>
    <w:rsid w:val="FB3F55E3"/>
    <w:rsid w:val="FBF7872A"/>
    <w:rsid w:val="FD2F61E0"/>
    <w:rsid w:val="FD8F5CA4"/>
    <w:rsid w:val="FDB5E4E9"/>
    <w:rsid w:val="FDFFEC7E"/>
    <w:rsid w:val="FEFF03D1"/>
    <w:rsid w:val="FFD7BE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rFonts w:ascii="Arial" w:hAnsi="Arial" w:eastAsia="宋体"/>
      <w:sz w:val="24"/>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11769</Words>
  <Characters>11975</Characters>
  <TotalTime>53</TotalTime>
  <ScaleCrop>false</ScaleCrop>
  <LinksUpToDate>false</LinksUpToDate>
  <CharactersWithSpaces>12064</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2023-06-29T10:43:00Z</dcterms:created>
  <dc:creator>Mint</dc:creator>
  <cp:lastModifiedBy>林深时见鹿</cp:lastModifiedBy>
  <cp:lastPrinted>2024-11-19T01:05:00Z</cp:lastPrinted>
  <dcterms:modified xsi:type="dcterms:W3CDTF">2024-11-25T07:52:32Z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2024-11-06T16:54:38Z</vt:filetime>
  </property>
  <property fmtid="{D5CDD505-2E9C-101B-9397-08002B2CF9AE}" pid="4" name="KSOProductBuildVer">
    <vt:lpwstr>2052-12.1.0.18912</vt:lpwstr>
  </property>
  <property fmtid="{D5CDD505-2E9C-101B-9397-08002B2CF9AE}" pid="5" name="ICV">
    <vt:lpwstr>B36E8003D3E64353A425A2D287DCB9CE_13</vt:lpwstr>
  </property>
</Properties>
</file>