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63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64AB2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2C049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176F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0F57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5D5B3F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5A9B7E75"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连司〔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2025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17号</w:t>
      </w:r>
    </w:p>
    <w:p w14:paraId="3F28A713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29CA2802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连城县</w:t>
      </w:r>
      <w:r>
        <w:rPr>
          <w:rFonts w:hint="eastAsia" w:ascii="黑体" w:hAnsi="黑体" w:eastAsia="黑体" w:cs="黑体"/>
          <w:sz w:val="44"/>
          <w:szCs w:val="44"/>
        </w:rPr>
        <w:t>司法局关于开展</w:t>
      </w:r>
      <w:r>
        <w:rPr>
          <w:rFonts w:hint="default" w:ascii="Times New Roman" w:hAnsi="Times New Roman" w:eastAsia="黑体" w:cs="Times New Roman"/>
          <w:sz w:val="44"/>
          <w:szCs w:val="44"/>
        </w:rPr>
        <w:t>2025</w:t>
      </w:r>
      <w:r>
        <w:rPr>
          <w:rFonts w:hint="eastAsia" w:ascii="黑体" w:hAnsi="黑体" w:eastAsia="黑体" w:cs="黑体"/>
          <w:sz w:val="44"/>
          <w:szCs w:val="44"/>
        </w:rPr>
        <w:t>年度法律服务行业“双随机”检查工作的通知</w:t>
      </w:r>
    </w:p>
    <w:p w14:paraId="25DFFD3E"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46A4D737"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各司法所、</w:t>
      </w:r>
      <w:r>
        <w:rPr>
          <w:rFonts w:hint="eastAsia" w:ascii="仿宋_GB2312" w:hAnsi="仿宋_GB2312" w:eastAsia="仿宋_GB2312" w:cs="仿宋_GB2312"/>
          <w:sz w:val="32"/>
          <w:szCs w:val="32"/>
        </w:rPr>
        <w:t>各律师事务所、公证处、基层法律服务所：</w:t>
      </w:r>
    </w:p>
    <w:p w14:paraId="747E5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为持续深化“放管服”改革和优化法治化营商环境，加强全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法律服务行业事中事后监管，提升法律服务行业执业能力和服务水平，根据龙岩市司法局《推广随机抽查机制规范事中事后监管工作实施方案》(龙司〔2024〕42号)精神，决定开展2025年度法律服务行业“双随机”检查。现将有关事项通知如下：</w:t>
      </w:r>
    </w:p>
    <w:p w14:paraId="08448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一、抽查对象</w:t>
      </w:r>
    </w:p>
    <w:p w14:paraId="10A02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律师事务所、公证处、基层法律服务所。</w:t>
      </w:r>
    </w:p>
    <w:p w14:paraId="59876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二、抽查内容</w:t>
      </w:r>
    </w:p>
    <w:p w14:paraId="7C49E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（一）律师事务所</w:t>
      </w:r>
    </w:p>
    <w:p w14:paraId="695BB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1.律师事务所保持设立条件情况；</w:t>
      </w:r>
    </w:p>
    <w:p w14:paraId="1A488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2.律师事务所建立健全制度规定及执行情况；</w:t>
      </w:r>
    </w:p>
    <w:p w14:paraId="2527C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3.律师事务所统一收案、统一收费并如实入账情况；</w:t>
      </w:r>
    </w:p>
    <w:p w14:paraId="5F91C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4.律师遵守法律法规规章和政策情况；</w:t>
      </w:r>
    </w:p>
    <w:p w14:paraId="1115C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5.律师遵守职业道德和执业纪律情况；</w:t>
      </w:r>
    </w:p>
    <w:p w14:paraId="5397D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6.律师协会履行职责情况；</w:t>
      </w:r>
    </w:p>
    <w:p w14:paraId="39588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7.法律法规规章和政策规定的其他事项。</w:t>
      </w:r>
    </w:p>
    <w:p w14:paraId="5E3BC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（二）公证处</w:t>
      </w:r>
    </w:p>
    <w:p w14:paraId="70881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1.公证机构保持法定设立条件的情况；</w:t>
      </w:r>
    </w:p>
    <w:p w14:paraId="447E6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2.公证机构执行应当报批或者备案事项的情况；</w:t>
      </w:r>
    </w:p>
    <w:p w14:paraId="46F08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3.公证机构和公证员的执业情况；</w:t>
      </w:r>
    </w:p>
    <w:p w14:paraId="513DA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4.公证质量的监控情况；</w:t>
      </w:r>
    </w:p>
    <w:p w14:paraId="77245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5.法律法规规章和政策规定的其他事项。</w:t>
      </w:r>
    </w:p>
    <w:p w14:paraId="7A783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三</w:t>
      </w:r>
      <w:r>
        <w:rPr>
          <w:rFonts w:hint="eastAsia" w:ascii="楷体_GB2312" w:hAnsi="楷体_GB2312" w:eastAsia="楷体_GB2312" w:cs="楷体_GB2312"/>
          <w:sz w:val="32"/>
          <w:szCs w:val="32"/>
        </w:rPr>
        <w:t>）基层法律服务所</w:t>
      </w:r>
    </w:p>
    <w:p w14:paraId="2188E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1.基层法律服务所保持设立条件的情况；</w:t>
      </w:r>
    </w:p>
    <w:p w14:paraId="6979B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2.基层法律服务所建立健全制度规定及执行情况；</w:t>
      </w:r>
    </w:p>
    <w:p w14:paraId="47829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3.基层法律服务所统一收案、统一收费并如实入账情况；</w:t>
      </w:r>
    </w:p>
    <w:p w14:paraId="39FBC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4.基层法律服务工作者遵守法律法规规章和政策的情况；</w:t>
      </w:r>
    </w:p>
    <w:p w14:paraId="66300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5.法律法规规章和政策规定的其他事项。</w:t>
      </w:r>
    </w:p>
    <w:p w14:paraId="70AD4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三、抽查时间、方式</w:t>
      </w:r>
    </w:p>
    <w:p w14:paraId="4FFF7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（一）抽查频次</w:t>
      </w:r>
    </w:p>
    <w:p w14:paraId="23BDE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上下半年各组织1次，具体时间另行通知。</w:t>
      </w:r>
    </w:p>
    <w:p w14:paraId="7EAD3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（二）抽查方法</w:t>
      </w:r>
    </w:p>
    <w:p w14:paraId="6945D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在组织实施检查前 15 日，依据龙岩市司法局《推广随机抽查机制规范事中事后监管工作实施方案》(龙司〔2024〕42号)相关规定，从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连城县</w:t>
      </w:r>
      <w:r>
        <w:rPr>
          <w:rFonts w:hint="eastAsia" w:ascii="仿宋_GB2312" w:hAnsi="仿宋_GB2312" w:eastAsia="仿宋_GB2312" w:cs="仿宋_GB2312"/>
          <w:sz w:val="32"/>
          <w:szCs w:val="32"/>
        </w:rPr>
        <w:t>《法律服务机构名录库》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中按不低于机构数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%的比例，摇号抽取法律服务机构；从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连城县</w:t>
      </w:r>
      <w:r>
        <w:rPr>
          <w:rFonts w:hint="eastAsia" w:ascii="仿宋_GB2312" w:hAnsi="仿宋_GB2312" w:eastAsia="仿宋_GB2312" w:cs="仿宋_GB2312"/>
          <w:sz w:val="32"/>
          <w:szCs w:val="32"/>
        </w:rPr>
        <w:t>《检查人员名录库》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中，摇号抽取检查人员组成检查组，摇号结果公布在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县司法局微信公众号</w:t>
      </w:r>
      <w:r>
        <w:rPr>
          <w:rFonts w:hint="eastAsia" w:ascii="仿宋_GB2312" w:hAnsi="仿宋_GB2312" w:eastAsia="仿宋_GB2312" w:cs="仿宋_GB2312"/>
          <w:sz w:val="32"/>
          <w:szCs w:val="32"/>
        </w:rPr>
        <w:t>5个工作日。</w:t>
      </w:r>
    </w:p>
    <w:p w14:paraId="2BAF7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（三）工作步骤</w:t>
      </w:r>
    </w:p>
    <w:p w14:paraId="7523E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1.各所自查。各律师事务所、公证处、基层法律服务所根据抽查内容，完成自查工作。</w:t>
      </w:r>
    </w:p>
    <w:p w14:paraId="573C2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2.抽取抽查对象和检查人员。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司法局按照本方案完成抽查对象和检查人员的随机抽取及公示工作。</w:t>
      </w:r>
    </w:p>
    <w:p w14:paraId="60DFF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实施抽查。检查组依据《随机抽查事项清单》（详见市司法局官网主动公开的《推广随机抽查机制规范事中事后监管工作实施方案》附件1）的规定，对抽查对象进行现场监督检查。检查结束后，按相关规定向抽查对象反馈检查情况。</w:t>
      </w:r>
    </w:p>
    <w:p w14:paraId="16B17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4.情况通报。本次检查结果将形成“双随机”抽查情况通报，通过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县司法局微信公众号</w:t>
      </w:r>
      <w:r>
        <w:rPr>
          <w:rFonts w:hint="eastAsia" w:ascii="仿宋_GB2312" w:hAnsi="仿宋_GB2312" w:eastAsia="仿宋_GB2312" w:cs="仿宋_GB2312"/>
          <w:sz w:val="32"/>
          <w:szCs w:val="32"/>
        </w:rPr>
        <w:t>向社会公开，主动接受社会监督。</w:t>
      </w:r>
    </w:p>
    <w:p w14:paraId="48849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四、工作要求</w:t>
      </w:r>
    </w:p>
    <w:p w14:paraId="6627A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各律师事务所、公证处、基层法律服务所要结合年度考评工作，开展一次全面“体检”，强化内部监督管理。抽查对象应当积极配合检查工作，认真准备相关材料。对于在检查中发现的问题，要找准原因，认真整改，不断提高服务水平和管理水平。</w:t>
      </w:r>
    </w:p>
    <w:p w14:paraId="14A89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检查人员要认真履行监管职责，按照分工负责、协作配合原则，做到出示执法证件、依法进行检查、按相关要求及时在闽执法平台录入行政检查情况。检查人员要认真填写现场监督检查记录，如实记录检查情况，并由抽查对象负责人签字并加盖公章确认。无法取得签字和公章的，检查人员要注明原因，由抽查对象有关人员作为见证人签字确认。</w:t>
      </w:r>
    </w:p>
    <w:p w14:paraId="28EAE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（三）检查发现的违法违规问题，要及时在闽执法平台录入行政检查相关信息，依法依规进行处理，并将查处情况和结果及时向社会公开，接受社会监督；同时，按照相关规定记入执业机构或执业人员诚信档案。</w:t>
      </w:r>
    </w:p>
    <w:p w14:paraId="28B53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F8CF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法律服务机构名录库</w:t>
      </w:r>
    </w:p>
    <w:p w14:paraId="5AF45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2.</w:t>
      </w:r>
      <w:r>
        <w:rPr>
          <w:rFonts w:hint="eastAsia" w:ascii="仿宋_GB2312" w:hAnsi="仿宋_GB2312" w:eastAsia="仿宋_GB2312" w:cs="仿宋_GB2312"/>
          <w:sz w:val="32"/>
          <w:szCs w:val="32"/>
        </w:rPr>
        <w:t>检查人员名录库</w:t>
      </w:r>
    </w:p>
    <w:p w14:paraId="3B028EA4">
      <w:pPr>
        <w:wordWrap w:val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BBDCCE5">
      <w:pPr>
        <w:wordWrap w:val="0"/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连城县司法局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41D04384"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2025年6月3日</w:t>
      </w:r>
    </w:p>
    <w:bookmarkEnd w:id="0"/>
    <w:p w14:paraId="5F8A5A6C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 w14:paraId="236F2CED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DCF88E9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04079E4D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法律服务机构名录库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6878"/>
      </w:tblGrid>
      <w:tr w14:paraId="6903D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5E822E9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878" w:type="dxa"/>
          </w:tcPr>
          <w:p w14:paraId="357F1B4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单 位</w:t>
            </w:r>
          </w:p>
        </w:tc>
      </w:tr>
      <w:tr w14:paraId="684C8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42B694AE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878" w:type="dxa"/>
          </w:tcPr>
          <w:p w14:paraId="4A30DA9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福建斌建律师事务所</w:t>
            </w:r>
          </w:p>
        </w:tc>
      </w:tr>
      <w:tr w14:paraId="52331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7279F8A3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878" w:type="dxa"/>
          </w:tcPr>
          <w:p w14:paraId="49A04A9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福建致平律师事务所</w:t>
            </w:r>
          </w:p>
        </w:tc>
      </w:tr>
      <w:tr w14:paraId="14BDA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6CC6BA12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878" w:type="dxa"/>
          </w:tcPr>
          <w:p w14:paraId="604BD32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福建慧来律师事务所</w:t>
            </w:r>
          </w:p>
        </w:tc>
      </w:tr>
      <w:tr w14:paraId="0B2CB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5104AD81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6878" w:type="dxa"/>
          </w:tcPr>
          <w:p w14:paraId="39458E3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福建启赞律师事务所</w:t>
            </w:r>
          </w:p>
        </w:tc>
      </w:tr>
      <w:tr w14:paraId="37D63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40000156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6878" w:type="dxa"/>
          </w:tcPr>
          <w:p w14:paraId="0F94E8E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福建尔友律师事务所</w:t>
            </w:r>
          </w:p>
        </w:tc>
      </w:tr>
      <w:tr w14:paraId="5E554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69AC1919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6878" w:type="dxa"/>
          </w:tcPr>
          <w:p w14:paraId="1207179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福建茗平律师事务所</w:t>
            </w:r>
          </w:p>
        </w:tc>
      </w:tr>
      <w:tr w14:paraId="0ACF8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78CC8334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6878" w:type="dxa"/>
          </w:tcPr>
          <w:p w14:paraId="7CA99C0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福建省连城县公证处</w:t>
            </w:r>
          </w:p>
        </w:tc>
      </w:tr>
      <w:tr w14:paraId="40741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488729D8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6878" w:type="dxa"/>
          </w:tcPr>
          <w:p w14:paraId="42FF741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龙岩市连城县中心法律服务所</w:t>
            </w:r>
          </w:p>
        </w:tc>
      </w:tr>
      <w:tr w14:paraId="17EE4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718FC18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6878" w:type="dxa"/>
          </w:tcPr>
          <w:p w14:paraId="3D9C1AD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龙岩市连城县文亨法律服务所</w:t>
            </w:r>
          </w:p>
        </w:tc>
      </w:tr>
      <w:tr w14:paraId="57B42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71CC95C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6878" w:type="dxa"/>
          </w:tcPr>
          <w:p w14:paraId="4EB3AD6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龙岩市连城县新泉法律服务所</w:t>
            </w:r>
          </w:p>
        </w:tc>
      </w:tr>
    </w:tbl>
    <w:p w14:paraId="5BDCB646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4BE86FF2">
      <w:pPr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br w:type="page"/>
      </w:r>
    </w:p>
    <w:p w14:paraId="6F4C645B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20CF5EFE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检查人员名录库</w:t>
      </w:r>
    </w:p>
    <w:p w14:paraId="01A2C113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3336"/>
        <w:gridCol w:w="1044"/>
        <w:gridCol w:w="3218"/>
      </w:tblGrid>
      <w:tr w14:paraId="583C1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7C9FC6A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336" w:type="dxa"/>
          </w:tcPr>
          <w:p w14:paraId="0BF4577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姓 名</w:t>
            </w:r>
          </w:p>
        </w:tc>
        <w:tc>
          <w:tcPr>
            <w:tcW w:w="1044" w:type="dxa"/>
          </w:tcPr>
          <w:p w14:paraId="47750C6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218" w:type="dxa"/>
          </w:tcPr>
          <w:p w14:paraId="474BC18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姓 名</w:t>
            </w:r>
          </w:p>
        </w:tc>
      </w:tr>
      <w:tr w14:paraId="32858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4BE7BF0D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336" w:type="dxa"/>
          </w:tcPr>
          <w:p w14:paraId="2939945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林 燕</w:t>
            </w:r>
          </w:p>
        </w:tc>
        <w:tc>
          <w:tcPr>
            <w:tcW w:w="1044" w:type="dxa"/>
          </w:tcPr>
          <w:p w14:paraId="1D3B5D1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3218" w:type="dxa"/>
          </w:tcPr>
          <w:p w14:paraId="4B3FDC0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罗滢静</w:t>
            </w:r>
          </w:p>
        </w:tc>
      </w:tr>
      <w:tr w14:paraId="3AED2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4E9360BA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336" w:type="dxa"/>
          </w:tcPr>
          <w:p w14:paraId="24D21F4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蒋丽红</w:t>
            </w:r>
          </w:p>
        </w:tc>
        <w:tc>
          <w:tcPr>
            <w:tcW w:w="1044" w:type="dxa"/>
          </w:tcPr>
          <w:p w14:paraId="7582D9A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3218" w:type="dxa"/>
          </w:tcPr>
          <w:p w14:paraId="3640EF0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谢兆斌</w:t>
            </w:r>
          </w:p>
        </w:tc>
      </w:tr>
      <w:tr w14:paraId="3B455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1A2CE08D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336" w:type="dxa"/>
          </w:tcPr>
          <w:p w14:paraId="2F62F77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江小娟</w:t>
            </w:r>
          </w:p>
        </w:tc>
        <w:tc>
          <w:tcPr>
            <w:tcW w:w="1044" w:type="dxa"/>
          </w:tcPr>
          <w:p w14:paraId="7851831A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3218" w:type="dxa"/>
          </w:tcPr>
          <w:p w14:paraId="26CAFCF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林 芳</w:t>
            </w:r>
          </w:p>
        </w:tc>
      </w:tr>
      <w:tr w14:paraId="23C22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0ECB92B6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3336" w:type="dxa"/>
          </w:tcPr>
          <w:p w14:paraId="2B4CD37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张 宙</w:t>
            </w:r>
          </w:p>
        </w:tc>
        <w:tc>
          <w:tcPr>
            <w:tcW w:w="1044" w:type="dxa"/>
          </w:tcPr>
          <w:p w14:paraId="77C2EDA2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3218" w:type="dxa"/>
          </w:tcPr>
          <w:p w14:paraId="3A20227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项运文</w:t>
            </w:r>
          </w:p>
        </w:tc>
      </w:tr>
      <w:tr w14:paraId="61255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7E87FE5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3336" w:type="dxa"/>
          </w:tcPr>
          <w:p w14:paraId="685FD09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傅诚颖</w:t>
            </w:r>
          </w:p>
        </w:tc>
        <w:tc>
          <w:tcPr>
            <w:tcW w:w="1044" w:type="dxa"/>
          </w:tcPr>
          <w:p w14:paraId="6BBB57B4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3218" w:type="dxa"/>
          </w:tcPr>
          <w:p w14:paraId="6722225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赖大国</w:t>
            </w:r>
          </w:p>
        </w:tc>
      </w:tr>
      <w:tr w14:paraId="20F70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6006C40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3336" w:type="dxa"/>
          </w:tcPr>
          <w:p w14:paraId="527546B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张小金</w:t>
            </w:r>
          </w:p>
        </w:tc>
        <w:tc>
          <w:tcPr>
            <w:tcW w:w="1044" w:type="dxa"/>
          </w:tcPr>
          <w:p w14:paraId="3F998F9F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3218" w:type="dxa"/>
            <w:shd w:val="clear" w:color="auto" w:fill="auto"/>
            <w:vAlign w:val="top"/>
          </w:tcPr>
          <w:p w14:paraId="479C50C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马长顺</w:t>
            </w:r>
          </w:p>
        </w:tc>
      </w:tr>
      <w:tr w14:paraId="5608C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38A4742C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3336" w:type="dxa"/>
          </w:tcPr>
          <w:p w14:paraId="1FE961B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杨先应</w:t>
            </w:r>
          </w:p>
        </w:tc>
        <w:tc>
          <w:tcPr>
            <w:tcW w:w="1044" w:type="dxa"/>
          </w:tcPr>
          <w:p w14:paraId="72AB1028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3218" w:type="dxa"/>
            <w:shd w:val="clear" w:color="auto" w:fill="auto"/>
            <w:vAlign w:val="top"/>
          </w:tcPr>
          <w:p w14:paraId="6BF1B97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江长华</w:t>
            </w:r>
          </w:p>
        </w:tc>
      </w:tr>
      <w:tr w14:paraId="1BD2D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11F3040B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3336" w:type="dxa"/>
          </w:tcPr>
          <w:p w14:paraId="33E129E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马骕骕</w:t>
            </w:r>
          </w:p>
        </w:tc>
        <w:tc>
          <w:tcPr>
            <w:tcW w:w="1044" w:type="dxa"/>
          </w:tcPr>
          <w:p w14:paraId="5492FBD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3218" w:type="dxa"/>
            <w:shd w:val="clear" w:color="auto" w:fill="auto"/>
            <w:vAlign w:val="top"/>
          </w:tcPr>
          <w:p w14:paraId="369B071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邹海伟</w:t>
            </w:r>
          </w:p>
        </w:tc>
      </w:tr>
    </w:tbl>
    <w:p w14:paraId="36C4FEDA">
      <w:pPr>
        <w:jc w:val="center"/>
        <w:rPr>
          <w:rFonts w:hint="default" w:ascii="黑体" w:hAnsi="黑体" w:eastAsia="黑体" w:cs="黑体"/>
          <w:sz w:val="44"/>
          <w:szCs w:val="44"/>
          <w:lang w:val="en-US" w:eastAsia="zh-CN"/>
        </w:rPr>
      </w:pPr>
    </w:p>
    <w:p w14:paraId="071EFC12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F2446DB">
      <w:pPr>
        <w:bidi w:val="0"/>
        <w:rPr>
          <w:rFonts w:hint="default"/>
          <w:lang w:val="en-US" w:eastAsia="zh-CN"/>
        </w:rPr>
      </w:pPr>
    </w:p>
    <w:p w14:paraId="095676AF">
      <w:pPr>
        <w:bidi w:val="0"/>
        <w:rPr>
          <w:rFonts w:hint="default"/>
          <w:lang w:val="en-US" w:eastAsia="zh-CN"/>
        </w:rPr>
      </w:pPr>
    </w:p>
    <w:p w14:paraId="7252DA17">
      <w:pPr>
        <w:bidi w:val="0"/>
        <w:rPr>
          <w:rFonts w:hint="default"/>
          <w:lang w:val="en-US" w:eastAsia="zh-CN"/>
        </w:rPr>
      </w:pPr>
    </w:p>
    <w:p w14:paraId="15AF46FA">
      <w:pPr>
        <w:bidi w:val="0"/>
        <w:rPr>
          <w:rFonts w:hint="default"/>
          <w:lang w:val="en-US" w:eastAsia="zh-CN"/>
        </w:rPr>
      </w:pPr>
    </w:p>
    <w:p w14:paraId="0A758160">
      <w:pPr>
        <w:bidi w:val="0"/>
        <w:rPr>
          <w:rFonts w:hint="default"/>
          <w:lang w:val="en-US" w:eastAsia="zh-CN"/>
        </w:rPr>
      </w:pPr>
    </w:p>
    <w:p w14:paraId="570D8751">
      <w:pPr>
        <w:bidi w:val="0"/>
        <w:rPr>
          <w:rFonts w:hint="default"/>
          <w:lang w:val="en-US" w:eastAsia="zh-CN"/>
        </w:rPr>
      </w:pPr>
    </w:p>
    <w:p w14:paraId="4785070E">
      <w:pPr>
        <w:bidi w:val="0"/>
        <w:rPr>
          <w:rFonts w:hint="default"/>
          <w:lang w:val="en-US" w:eastAsia="zh-CN"/>
        </w:rPr>
      </w:pPr>
    </w:p>
    <w:p w14:paraId="4A2040EB">
      <w:pPr>
        <w:bidi w:val="0"/>
        <w:rPr>
          <w:rFonts w:hint="default"/>
          <w:lang w:val="en-US" w:eastAsia="zh-CN"/>
        </w:rPr>
      </w:pPr>
    </w:p>
    <w:p w14:paraId="35CB0739">
      <w:pPr>
        <w:bidi w:val="0"/>
        <w:rPr>
          <w:rFonts w:hint="default"/>
          <w:lang w:val="en-US" w:eastAsia="zh-CN"/>
        </w:rPr>
      </w:pPr>
    </w:p>
    <w:p w14:paraId="4861A5C7">
      <w:pPr>
        <w:bidi w:val="0"/>
        <w:rPr>
          <w:rFonts w:hint="default"/>
          <w:lang w:val="en-US" w:eastAsia="zh-CN"/>
        </w:rPr>
      </w:pPr>
    </w:p>
    <w:p w14:paraId="3D287E6B">
      <w:pPr>
        <w:bidi w:val="0"/>
        <w:rPr>
          <w:rFonts w:hint="default"/>
          <w:lang w:val="en-US" w:eastAsia="zh-CN"/>
        </w:rPr>
      </w:pPr>
    </w:p>
    <w:p w14:paraId="47B8BD51">
      <w:pPr>
        <w:bidi w:val="0"/>
        <w:rPr>
          <w:rFonts w:hint="default"/>
          <w:lang w:val="en-US" w:eastAsia="zh-CN"/>
        </w:rPr>
      </w:pPr>
    </w:p>
    <w:p w14:paraId="7C179317">
      <w:pPr>
        <w:pBdr>
          <w:bottom w:val="none" w:color="auto" w:sz="0" w:space="0"/>
        </w:pBdr>
        <w:bidi w:val="0"/>
        <w:rPr>
          <w:rFonts w:hint="default"/>
          <w:lang w:val="en-US" w:eastAsia="zh-CN"/>
        </w:rPr>
      </w:pPr>
    </w:p>
    <w:p w14:paraId="0AF8524A">
      <w:pPr>
        <w:pBdr>
          <w:top w:val="single" w:color="auto" w:sz="4" w:space="0"/>
          <w:bottom w:val="single" w:color="auto" w:sz="4" w:space="0"/>
        </w:pBdr>
        <w:bidi w:val="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连城县司法局                        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2025年6月3日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印发</w:t>
      </w:r>
    </w:p>
    <w:p w14:paraId="584D7C57">
      <w:pPr>
        <w:bidi w:val="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B3CE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-104775</wp:posOffset>
              </wp:positionV>
              <wp:extent cx="682625" cy="3924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25" cy="392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700B32">
                          <w:pPr>
                            <w:pStyle w:val="2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8.25pt;height:30.9pt;width:53.75pt;mso-position-horizontal:outside;mso-position-horizontal-relative:margin;z-index:251659264;mso-width-relative:page;mso-height-relative:page;" filled="f" stroked="f" coordsize="21600,21600" o:gfxdata="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fhn93tYAAAAHAQAADwAAAAAAAAABACAAAAAiAAAAZHJzL2Rvd25yZXYu&#10;eG1sUEsBAhQAFAAAAAgAh07iQEOBMH42AgAAYQQAAA4AAAAAAAAAAQAgAAAAJQ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02700B32">
                    <w:pPr>
                      <w:pStyle w:val="2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D0134"/>
    <w:rsid w:val="09D82B91"/>
    <w:rsid w:val="157906D0"/>
    <w:rsid w:val="18BC68B6"/>
    <w:rsid w:val="1C4A05F8"/>
    <w:rsid w:val="238D5839"/>
    <w:rsid w:val="2E4834CF"/>
    <w:rsid w:val="33E124D7"/>
    <w:rsid w:val="3F7C0BF8"/>
    <w:rsid w:val="40B264D0"/>
    <w:rsid w:val="42842F7F"/>
    <w:rsid w:val="45BC0DE0"/>
    <w:rsid w:val="50C506D1"/>
    <w:rsid w:val="526A6FDE"/>
    <w:rsid w:val="5DEF284D"/>
    <w:rsid w:val="606574C1"/>
    <w:rsid w:val="650D1798"/>
    <w:rsid w:val="74062F4D"/>
    <w:rsid w:val="7A0A0689"/>
    <w:rsid w:val="7E144B63"/>
    <w:rsid w:val="7EB6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1625</Words>
  <Characters>1683</Characters>
  <Lines>0</Lines>
  <Paragraphs>0</Paragraphs>
  <TotalTime>102</TotalTime>
  <ScaleCrop>false</ScaleCrop>
  <LinksUpToDate>false</LinksUpToDate>
  <CharactersWithSpaces>1785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2025-06-03T00:43:00Z</dcterms:created>
  <dc:creator>Administrator</dc:creator>
  <cp:lastModifiedBy>林深时见鹿</cp:lastModifiedBy>
  <cp:lastPrinted>2025-06-04T01:24:00Z</cp:lastPrinted>
  <dcterms:modified xsi:type="dcterms:W3CDTF">2025-06-30T09:22:00Z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eyJoZGlkIjoiNmVhZDNmM2M5ZTU0NTY3ZTRjZjg4MzFmZTMxMzZkYzciLCJ1c2VySWQiOiIzMTU2MTE1MjIifQ==</vt:lpwstr>
  </property>
  <property fmtid="{D5CDD505-2E9C-101B-9397-08002B2CF9AE}" pid="4" name="ICV">
    <vt:lpwstr>CFC552A616BA45EF906CFFF913C7685F_13</vt:lpwstr>
  </property>
</Properties>
</file>