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9B6" w:rsidRDefault="00DA29B6" w:rsidP="004B3E39">
      <w:pPr>
        <w:spacing w:line="600" w:lineRule="exact"/>
        <w:ind w:firstLineChars="0" w:firstLine="0"/>
      </w:pPr>
    </w:p>
    <w:p w:rsidR="00DA29B6" w:rsidRDefault="00DA29B6" w:rsidP="004B3E39">
      <w:pPr>
        <w:spacing w:line="600" w:lineRule="exact"/>
        <w:ind w:firstLineChars="0" w:firstLine="0"/>
      </w:pPr>
    </w:p>
    <w:p w:rsidR="00DA29B6" w:rsidRDefault="00DA29B6" w:rsidP="004B3E39">
      <w:pPr>
        <w:spacing w:line="600" w:lineRule="exact"/>
        <w:ind w:firstLineChars="0" w:firstLine="0"/>
      </w:pPr>
    </w:p>
    <w:p w:rsidR="00DA29B6" w:rsidRDefault="00DA29B6" w:rsidP="004B3E39">
      <w:pPr>
        <w:spacing w:line="600" w:lineRule="exact"/>
        <w:ind w:firstLineChars="0" w:firstLine="0"/>
      </w:pPr>
    </w:p>
    <w:p w:rsidR="00DA29B6" w:rsidRDefault="00DA29B6" w:rsidP="004B3E39">
      <w:pPr>
        <w:spacing w:line="600" w:lineRule="exact"/>
        <w:ind w:firstLineChars="0" w:firstLine="0"/>
      </w:pPr>
    </w:p>
    <w:p w:rsidR="00DA29B6" w:rsidRDefault="00DA29B6" w:rsidP="004B3E39">
      <w:pPr>
        <w:spacing w:line="600" w:lineRule="exact"/>
        <w:ind w:firstLineChars="0" w:firstLine="0"/>
      </w:pPr>
    </w:p>
    <w:p w:rsidR="00DA29B6" w:rsidRDefault="00DA29B6" w:rsidP="00E734F9">
      <w:pPr>
        <w:spacing w:line="760" w:lineRule="exact"/>
        <w:ind w:firstLineChars="0" w:firstLine="0"/>
      </w:pPr>
    </w:p>
    <w:p w:rsidR="00DA29B6" w:rsidRDefault="00DA29B6" w:rsidP="004B3E39">
      <w:pPr>
        <w:spacing w:line="600" w:lineRule="exact"/>
        <w:ind w:firstLineChars="0" w:firstLine="0"/>
      </w:pPr>
      <w:r>
        <w:rPr>
          <w:rFonts w:hint="eastAsia"/>
        </w:rPr>
        <w:t>连文〔</w:t>
      </w:r>
      <w:r>
        <w:t>2019</w:t>
      </w:r>
      <w:r>
        <w:rPr>
          <w:rFonts w:hint="eastAsia"/>
        </w:rPr>
        <w:t>〕</w:t>
      </w:r>
      <w:r>
        <w:t>43</w:t>
      </w:r>
      <w:r>
        <w:rPr>
          <w:rFonts w:hint="eastAsia"/>
        </w:rPr>
        <w:t>号</w:t>
      </w:r>
      <w:r>
        <w:t xml:space="preserve">                         </w:t>
      </w:r>
      <w:r>
        <w:rPr>
          <w:rFonts w:hint="eastAsia"/>
        </w:rPr>
        <w:t>签发人：</w:t>
      </w:r>
      <w:r w:rsidRPr="004B3E39">
        <w:rPr>
          <w:rFonts w:ascii="楷体_GB2312" w:eastAsia="楷体_GB2312" w:hint="eastAsia"/>
        </w:rPr>
        <w:t>傅晓冬</w:t>
      </w:r>
    </w:p>
    <w:p w:rsidR="00DA29B6" w:rsidRDefault="00DA29B6" w:rsidP="004B3E39">
      <w:pPr>
        <w:spacing w:line="600" w:lineRule="exact"/>
        <w:ind w:firstLineChars="0" w:firstLine="0"/>
        <w:jc w:val="center"/>
      </w:pPr>
      <w:r>
        <w:t xml:space="preserve">                                     </w:t>
      </w:r>
      <w:r>
        <w:tab/>
        <w:t xml:space="preserve">        A</w:t>
      </w:r>
      <w:r>
        <w:rPr>
          <w:rFonts w:hint="eastAsia"/>
        </w:rPr>
        <w:t>类</w:t>
      </w:r>
    </w:p>
    <w:p w:rsidR="00DA29B6" w:rsidRDefault="00DA29B6" w:rsidP="004B3E39">
      <w:pPr>
        <w:spacing w:line="600" w:lineRule="exact"/>
        <w:ind w:firstLineChars="0" w:firstLine="0"/>
        <w:jc w:val="center"/>
      </w:pPr>
    </w:p>
    <w:p w:rsidR="00DA29B6" w:rsidRDefault="00DA29B6" w:rsidP="004B3E39">
      <w:pPr>
        <w:pStyle w:val="Heading1"/>
        <w:spacing w:line="600" w:lineRule="exact"/>
      </w:pPr>
      <w:r>
        <w:rPr>
          <w:rFonts w:hint="eastAsia"/>
        </w:rPr>
        <w:t>关于县十七届人大三次会议第</w:t>
      </w:r>
      <w:r>
        <w:t>21</w:t>
      </w:r>
      <w:r>
        <w:rPr>
          <w:rFonts w:hint="eastAsia"/>
        </w:rPr>
        <w:t>号</w:t>
      </w:r>
    </w:p>
    <w:p w:rsidR="00DA29B6" w:rsidRDefault="00DA29B6" w:rsidP="004B3E39">
      <w:pPr>
        <w:pStyle w:val="Heading1"/>
        <w:spacing w:line="600" w:lineRule="exact"/>
      </w:pPr>
      <w:r>
        <w:rPr>
          <w:rFonts w:hint="eastAsia"/>
        </w:rPr>
        <w:t>代表建议办理情况的答复函</w:t>
      </w:r>
    </w:p>
    <w:p w:rsidR="00DA29B6" w:rsidRDefault="00DA29B6" w:rsidP="004B3E39">
      <w:pPr>
        <w:spacing w:line="600" w:lineRule="exact"/>
        <w:ind w:firstLineChars="0" w:firstLine="0"/>
        <w:rPr>
          <w:sz w:val="44"/>
          <w:szCs w:val="44"/>
        </w:rPr>
      </w:pPr>
    </w:p>
    <w:p w:rsidR="00DA29B6" w:rsidRDefault="00DA29B6" w:rsidP="004B3E39">
      <w:pPr>
        <w:spacing w:line="600" w:lineRule="exact"/>
        <w:ind w:firstLineChars="0" w:firstLine="0"/>
      </w:pPr>
      <w:r>
        <w:rPr>
          <w:rFonts w:hint="eastAsia"/>
        </w:rPr>
        <w:t>邹洪建、马华源、邹荣华、马莲英代表：</w:t>
      </w:r>
    </w:p>
    <w:p w:rsidR="00DA29B6" w:rsidRDefault="00DA29B6" w:rsidP="004B3E39">
      <w:pPr>
        <w:spacing w:line="600" w:lineRule="exact"/>
        <w:ind w:firstLineChars="0" w:firstLine="630"/>
      </w:pPr>
      <w:r>
        <w:rPr>
          <w:rFonts w:hint="eastAsia"/>
        </w:rPr>
        <w:t>你们提出的《关于在四堡镇划定全国重点文物保护单位保护范围的建议》收悉，现答复如下：</w:t>
      </w:r>
    </w:p>
    <w:p w:rsidR="00DA29B6" w:rsidRDefault="00DA29B6" w:rsidP="004B3E39">
      <w:pPr>
        <w:spacing w:line="600" w:lineRule="exact"/>
        <w:ind w:firstLineChars="0" w:firstLine="630"/>
      </w:pPr>
      <w:r>
        <w:rPr>
          <w:rFonts w:hint="eastAsia"/>
        </w:rPr>
        <w:t>四堡书坊建筑于</w:t>
      </w:r>
      <w:r>
        <w:t>2001</w:t>
      </w:r>
      <w:r>
        <w:rPr>
          <w:rFonts w:hint="eastAsia"/>
        </w:rPr>
        <w:t>年</w:t>
      </w:r>
      <w:r>
        <w:t>6</w:t>
      </w:r>
      <w:r>
        <w:rPr>
          <w:rFonts w:hint="eastAsia"/>
        </w:rPr>
        <w:t>月公布为第五批全国重点文物保护单位，共有</w:t>
      </w:r>
      <w:r>
        <w:t>50</w:t>
      </w:r>
      <w:r>
        <w:rPr>
          <w:rFonts w:hint="eastAsia"/>
        </w:rPr>
        <w:t>座古书坊列入其中。</w:t>
      </w:r>
      <w:r>
        <w:t>2016</w:t>
      </w:r>
      <w:r>
        <w:rPr>
          <w:rFonts w:hint="eastAsia"/>
        </w:rPr>
        <w:t>年</w:t>
      </w:r>
      <w:r>
        <w:t>4</w:t>
      </w:r>
      <w:r>
        <w:rPr>
          <w:rFonts w:hint="eastAsia"/>
        </w:rPr>
        <w:t>月，福建省人民政府印发《关于公布全国重点文物保护单位（第四至七批）全国重点文物保护单位保护范围的通知》（闽政</w:t>
      </w:r>
      <w:r>
        <w:rPr>
          <w:rFonts w:ascii="仿宋_GB2312" w:hAnsi="仿宋_GB2312" w:cs="仿宋_GB2312" w:hint="eastAsia"/>
        </w:rPr>
        <w:t>〔</w:t>
      </w:r>
      <w:r>
        <w:t>2016</w:t>
      </w:r>
      <w:r>
        <w:rPr>
          <w:rFonts w:ascii="仿宋_GB2312" w:hAnsi="仿宋_GB2312" w:cs="仿宋_GB2312" w:hint="eastAsia"/>
        </w:rPr>
        <w:t>〕</w:t>
      </w:r>
      <w:r>
        <w:t>19</w:t>
      </w:r>
      <w:r>
        <w:rPr>
          <w:rFonts w:hint="eastAsia"/>
        </w:rPr>
        <w:t>号），</w:t>
      </w:r>
      <w:r>
        <w:t>2016</w:t>
      </w:r>
      <w:r>
        <w:rPr>
          <w:rFonts w:hint="eastAsia"/>
        </w:rPr>
        <w:t>年</w:t>
      </w:r>
      <w:r>
        <w:t>5</w:t>
      </w:r>
      <w:r>
        <w:rPr>
          <w:rFonts w:hint="eastAsia"/>
        </w:rPr>
        <w:t>月，连城县人民政府印发《关于公布连城县（第四至七批）全国重点文物保护单位保护范围的通知》（连政综</w:t>
      </w:r>
      <w:r>
        <w:rPr>
          <w:rFonts w:ascii="仿宋_GB2312" w:hAnsi="仿宋_GB2312" w:cs="仿宋_GB2312" w:hint="eastAsia"/>
        </w:rPr>
        <w:t>〔</w:t>
      </w:r>
      <w:r>
        <w:t>2016</w:t>
      </w:r>
      <w:r>
        <w:rPr>
          <w:rFonts w:ascii="仿宋_GB2312" w:hAnsi="仿宋_GB2312" w:cs="仿宋_GB2312" w:hint="eastAsia"/>
        </w:rPr>
        <w:t>〕</w:t>
      </w:r>
      <w:r>
        <w:t>119</w:t>
      </w:r>
      <w:r>
        <w:rPr>
          <w:rFonts w:hint="eastAsia"/>
        </w:rPr>
        <w:t>号）文件，公布了四堡书坊建筑的保护范围为：</w:t>
      </w:r>
    </w:p>
    <w:p w:rsidR="00DA29B6" w:rsidRDefault="00DA29B6" w:rsidP="004B3E39">
      <w:pPr>
        <w:numPr>
          <w:ilvl w:val="0"/>
          <w:numId w:val="1"/>
        </w:numPr>
        <w:spacing w:line="600" w:lineRule="exact"/>
        <w:ind w:firstLineChars="0" w:firstLine="630"/>
      </w:pPr>
      <w:r>
        <w:rPr>
          <w:rFonts w:hint="eastAsia"/>
        </w:rPr>
        <w:t>雾阁片区（雾阁、田茶）：（</w:t>
      </w:r>
      <w:r>
        <w:t>1</w:t>
      </w:r>
      <w:r>
        <w:rPr>
          <w:rFonts w:hint="eastAsia"/>
        </w:rPr>
        <w:t>）文物建筑集中区：北至北龙溪北界，西至子仁屋西侧巷道，南至南龙溪南边界，东至素位堂东侧巷道，具体界限以保护区划图为准。（</w:t>
      </w:r>
      <w:r>
        <w:t>2</w:t>
      </w:r>
      <w:r>
        <w:rPr>
          <w:rFonts w:hint="eastAsia"/>
        </w:rPr>
        <w:t>）分散遗存点以文阁：以建筑本体的墙基边界为界。</w:t>
      </w:r>
    </w:p>
    <w:p w:rsidR="00DA29B6" w:rsidRDefault="00DA29B6" w:rsidP="004B3E39">
      <w:pPr>
        <w:numPr>
          <w:ilvl w:val="0"/>
          <w:numId w:val="1"/>
        </w:numPr>
        <w:spacing w:line="600" w:lineRule="exact"/>
        <w:ind w:firstLineChars="0" w:firstLine="630"/>
      </w:pPr>
      <w:r>
        <w:rPr>
          <w:rFonts w:hint="eastAsia"/>
        </w:rPr>
        <w:t>马屋片区（中南、四桥）：（</w:t>
      </w:r>
      <w:r>
        <w:t>1</w:t>
      </w:r>
      <w:r>
        <w:rPr>
          <w:rFonts w:hint="eastAsia"/>
        </w:rPr>
        <w:t>）文物建筑集中区：北至玉沙桥往北</w:t>
      </w:r>
      <w:smartTag w:uri="urn:schemas-microsoft-com:office:smarttags" w:element="chmetcnv">
        <w:smartTagPr>
          <w:attr w:name="TCSC" w:val="0"/>
          <w:attr w:name="NumberType" w:val="1"/>
          <w:attr w:name="Negative" w:val="False"/>
          <w:attr w:name="HasSpace" w:val="False"/>
          <w:attr w:name="SourceValue" w:val="20"/>
          <w:attr w:name="UnitName" w:val="米"/>
        </w:smartTagPr>
        <w:r>
          <w:t>20</w:t>
        </w:r>
        <w:r>
          <w:rPr>
            <w:rFonts w:hint="eastAsia"/>
          </w:rPr>
          <w:t>米</w:t>
        </w:r>
      </w:smartTag>
      <w:r>
        <w:rPr>
          <w:rFonts w:hint="eastAsia"/>
        </w:rPr>
        <w:t>处，其余边界以农田、玉沙溪、街巷、建筑本体的边界为界，具体界线以保护区划图为准。（</w:t>
      </w:r>
      <w:r>
        <w:t>2</w:t>
      </w:r>
      <w:r>
        <w:rPr>
          <w:rFonts w:hint="eastAsia"/>
        </w:rPr>
        <w:t>）分散遗存点马援庙：北至养老院北墙，西至马援庙前空场西界，南至农田边界，东至马援庙建筑本体东墙。</w:t>
      </w:r>
    </w:p>
    <w:p w:rsidR="00DA29B6" w:rsidRDefault="00DA29B6" w:rsidP="00E734F9">
      <w:pPr>
        <w:spacing w:line="600" w:lineRule="exact"/>
        <w:ind w:firstLine="31680"/>
      </w:pPr>
      <w:smartTag w:uri="urn:schemas-microsoft-com:office:smarttags" w:element="chsdate">
        <w:smartTagPr>
          <w:attr w:name="IsROCDate" w:val="False"/>
          <w:attr w:name="IsLunarDate" w:val="False"/>
          <w:attr w:name="Day" w:val="8"/>
          <w:attr w:name="Month" w:val="11"/>
          <w:attr w:name="Year" w:val="2016"/>
        </w:smartTagPr>
        <w:r>
          <w:t>2016</w:t>
        </w:r>
        <w:r>
          <w:rPr>
            <w:rFonts w:hint="eastAsia"/>
          </w:rPr>
          <w:t>年</w:t>
        </w:r>
        <w:r>
          <w:t>11</w:t>
        </w:r>
        <w:r>
          <w:rPr>
            <w:rFonts w:hint="eastAsia"/>
          </w:rPr>
          <w:t>月</w:t>
        </w:r>
        <w:r>
          <w:t>8</w:t>
        </w:r>
        <w:r>
          <w:rPr>
            <w:rFonts w:hint="eastAsia"/>
          </w:rPr>
          <w:t>日</w:t>
        </w:r>
      </w:smartTag>
      <w:r>
        <w:rPr>
          <w:rFonts w:hint="eastAsia"/>
        </w:rPr>
        <w:t>，福建省文化厅</w:t>
      </w:r>
      <w:r>
        <w:t xml:space="preserve"> </w:t>
      </w:r>
      <w:r>
        <w:rPr>
          <w:rFonts w:hint="eastAsia"/>
        </w:rPr>
        <w:t>福建省住房和城乡建设厅联合印发《关于公布省级以上文物保护单位建设控制地带的通知》（闽文物</w:t>
      </w:r>
      <w:r>
        <w:rPr>
          <w:rFonts w:ascii="仿宋_GB2312" w:hAnsi="仿宋_GB2312" w:cs="仿宋_GB2312" w:hint="eastAsia"/>
        </w:rPr>
        <w:t>〔</w:t>
      </w:r>
      <w:r>
        <w:t>2016</w:t>
      </w:r>
      <w:r>
        <w:rPr>
          <w:rFonts w:ascii="仿宋_GB2312" w:hAnsi="仿宋_GB2312" w:cs="仿宋_GB2312" w:hint="eastAsia"/>
        </w:rPr>
        <w:t>〕</w:t>
      </w:r>
      <w:r>
        <w:t>62</w:t>
      </w:r>
      <w:r>
        <w:rPr>
          <w:rFonts w:hint="eastAsia"/>
        </w:rPr>
        <w:t>号），公布了四堡书坊建筑的建设控制地带为：自省道</w:t>
      </w:r>
      <w:r>
        <w:t>S204</w:t>
      </w:r>
      <w:r>
        <w:rPr>
          <w:rFonts w:hint="eastAsia"/>
        </w:rPr>
        <w:t>东、西沿各向外延伸</w:t>
      </w:r>
      <w:smartTag w:uri="urn:schemas-microsoft-com:office:smarttags" w:element="chmetcnv">
        <w:smartTagPr>
          <w:attr w:name="TCSC" w:val="0"/>
          <w:attr w:name="NumberType" w:val="1"/>
          <w:attr w:name="Negative" w:val="False"/>
          <w:attr w:name="HasSpace" w:val="False"/>
          <w:attr w:name="SourceValue" w:val="140"/>
          <w:attr w:name="UnitName" w:val="米"/>
        </w:smartTagPr>
        <w:r>
          <w:t>140</w:t>
        </w:r>
        <w:r>
          <w:rPr>
            <w:rFonts w:hint="eastAsia"/>
          </w:rPr>
          <w:t>米</w:t>
        </w:r>
      </w:smartTag>
      <w:r>
        <w:rPr>
          <w:rFonts w:hint="eastAsia"/>
        </w:rPr>
        <w:t>，马屋片区保护范围北界向北沿</w:t>
      </w:r>
      <w:r>
        <w:t>140</w:t>
      </w:r>
      <w:smartTag w:uri="urn:schemas-microsoft-com:office:smarttags" w:element="chmetcnv">
        <w:smartTagPr>
          <w:attr w:name="TCSC" w:val="0"/>
          <w:attr w:name="NumberType" w:val="1"/>
          <w:attr w:name="Negative" w:val="True"/>
          <w:attr w:name="HasSpace" w:val="False"/>
          <w:attr w:name="SourceValue" w:val="290"/>
          <w:attr w:name="UnitName" w:val="米"/>
        </w:smartTagPr>
        <w:r>
          <w:t>-290</w:t>
        </w:r>
        <w:r>
          <w:rPr>
            <w:rFonts w:hint="eastAsia"/>
          </w:rPr>
          <w:t>米</w:t>
        </w:r>
      </w:smartTag>
      <w:r>
        <w:rPr>
          <w:rFonts w:hint="eastAsia"/>
        </w:rPr>
        <w:t>，雾阁片区保护范围南界向南延伸</w:t>
      </w:r>
      <w:r>
        <w:t>130</w:t>
      </w:r>
      <w:smartTag w:uri="urn:schemas-microsoft-com:office:smarttags" w:element="chmetcnv">
        <w:smartTagPr>
          <w:attr w:name="TCSC" w:val="0"/>
          <w:attr w:name="NumberType" w:val="1"/>
          <w:attr w:name="Negative" w:val="True"/>
          <w:attr w:name="HasSpace" w:val="False"/>
          <w:attr w:name="SourceValue" w:val="280"/>
          <w:attr w:name="UnitName" w:val="米"/>
        </w:smartTagPr>
        <w:r>
          <w:t>-280</w:t>
        </w:r>
        <w:r>
          <w:rPr>
            <w:rFonts w:hint="eastAsia"/>
          </w:rPr>
          <w:t>米</w:t>
        </w:r>
      </w:smartTag>
      <w:r>
        <w:rPr>
          <w:rFonts w:hint="eastAsia"/>
        </w:rPr>
        <w:t>。</w:t>
      </w:r>
      <w:r>
        <w:t xml:space="preserve">   </w:t>
      </w:r>
    </w:p>
    <w:p w:rsidR="00DA29B6" w:rsidRDefault="00DA29B6" w:rsidP="00E734F9">
      <w:pPr>
        <w:spacing w:line="600" w:lineRule="exact"/>
        <w:ind w:firstLine="31680"/>
      </w:pPr>
      <w:r>
        <w:rPr>
          <w:rFonts w:hint="eastAsia"/>
        </w:rPr>
        <w:t>《中华人民共和国文物保护法》</w:t>
      </w:r>
      <w:r>
        <w:rPr>
          <w:rFonts w:hint="eastAsia"/>
          <w:b/>
          <w:bCs/>
        </w:rPr>
        <w:t>第十七条</w:t>
      </w:r>
      <w:r>
        <w:rPr>
          <w:rFonts w:hint="eastAsia"/>
        </w:rPr>
        <w:t>规定，文物保护单位的保护范围内不得进行其他建设工程或者爆破、钻探、挖掘等作业。但是，因特殊情况需要在文物保护单位的保护范围内进行其他建设工程或者爆破、钻探、挖掘等作业的，必须保证文物保护单位的安全，并经核定公布该文物保护单位的人民政府批准，在批准前应当征得上一级人民政府文物行政部门同意；在全国重点文物保护单位的保护范围内进行其他建设工程或者爆破、钻探、挖掘等作业的，必须经省、自治区、直辖市人民政府批准，在批准前应当征得国务院文物行政部门同意。</w:t>
      </w:r>
      <w:r>
        <w:rPr>
          <w:rFonts w:hint="eastAsia"/>
          <w:b/>
          <w:bCs/>
        </w:rPr>
        <w:t>第十八条</w:t>
      </w:r>
      <w:r>
        <w:rPr>
          <w:rFonts w:hint="eastAsia"/>
        </w:rPr>
        <w:t>规定：在文物保护单位的建设控制地带内进行建设工程，不得破坏文物保护单位的历史风貌；工程设计方案应当根据文物保护单位的级别，经相应的文物行政部门同意后，报城乡建设规划部门批准。</w:t>
      </w:r>
      <w:r>
        <w:rPr>
          <w:rFonts w:hint="eastAsia"/>
          <w:b/>
          <w:bCs/>
        </w:rPr>
        <w:t>第十九条</w:t>
      </w:r>
      <w:r>
        <w:rPr>
          <w:rFonts w:hint="eastAsia"/>
        </w:rPr>
        <w:t>规定：在文物保护单位的保护范围和建设控制地带内，不得建设污染文物保护单位及其环境的设施，不得进行可能影响文物保护单位安全及其环境的活动。对已有的污染文物保护单位及其环境的设施，应当限期治理。</w:t>
      </w:r>
    </w:p>
    <w:p w:rsidR="00DA29B6" w:rsidRDefault="00DA29B6" w:rsidP="00E734F9">
      <w:pPr>
        <w:pStyle w:val="NormalWeb"/>
        <w:widowControl/>
        <w:spacing w:beforeAutospacing="0" w:afterAutospacing="0" w:line="600" w:lineRule="exact"/>
        <w:ind w:firstLine="31680"/>
        <w:jc w:val="both"/>
        <w:rPr>
          <w:rFonts w:ascii="仿宋_GB2312" w:cs="仿宋_GB2312"/>
          <w:color w:val="000000"/>
          <w:sz w:val="32"/>
        </w:rPr>
      </w:pPr>
      <w:smartTag w:uri="urn:schemas-microsoft-com:office:smarttags" w:element="chsdate">
        <w:smartTagPr>
          <w:attr w:name="IsROCDate" w:val="False"/>
          <w:attr w:name="IsLunarDate" w:val="False"/>
          <w:attr w:name="Day" w:val="9"/>
          <w:attr w:name="Month" w:val="9"/>
          <w:attr w:name="Year" w:val="2017"/>
        </w:smartTagPr>
        <w:r>
          <w:rPr>
            <w:sz w:val="32"/>
          </w:rPr>
          <w:t>2017</w:t>
        </w:r>
        <w:r>
          <w:rPr>
            <w:rFonts w:hint="eastAsia"/>
            <w:sz w:val="32"/>
          </w:rPr>
          <w:t>年</w:t>
        </w:r>
        <w:r>
          <w:rPr>
            <w:sz w:val="32"/>
          </w:rPr>
          <w:t>9</w:t>
        </w:r>
        <w:r>
          <w:rPr>
            <w:rFonts w:hint="eastAsia"/>
            <w:sz w:val="32"/>
          </w:rPr>
          <w:t>月</w:t>
        </w:r>
        <w:r>
          <w:rPr>
            <w:sz w:val="32"/>
          </w:rPr>
          <w:t>9</w:t>
        </w:r>
        <w:r>
          <w:rPr>
            <w:rFonts w:hint="eastAsia"/>
            <w:sz w:val="32"/>
          </w:rPr>
          <w:t>日</w:t>
        </w:r>
      </w:smartTag>
      <w:r>
        <w:rPr>
          <w:rFonts w:hint="eastAsia"/>
          <w:sz w:val="32"/>
        </w:rPr>
        <w:t>，国务院办公厅印发《关于进一步加强文物安全工作的实施意见》（国办发〔</w:t>
      </w:r>
      <w:r>
        <w:rPr>
          <w:sz w:val="32"/>
        </w:rPr>
        <w:t>2017</w:t>
      </w:r>
      <w:r>
        <w:rPr>
          <w:rFonts w:hint="eastAsia"/>
          <w:sz w:val="32"/>
        </w:rPr>
        <w:t>〕</w:t>
      </w:r>
      <w:r>
        <w:rPr>
          <w:sz w:val="32"/>
        </w:rPr>
        <w:t>81</w:t>
      </w:r>
      <w:r>
        <w:rPr>
          <w:rFonts w:hint="eastAsia"/>
          <w:sz w:val="32"/>
        </w:rPr>
        <w:t>号），明确了文物保护地方政府的主体责任、部门的监管责任、文物管理使用者的直接责任。其中</w:t>
      </w:r>
      <w:r>
        <w:rPr>
          <w:rFonts w:ascii="仿宋_GB2312" w:hAnsi="仿宋_GB2312" w:cs="仿宋_GB2312" w:hint="eastAsia"/>
          <w:color w:val="000000"/>
          <w:sz w:val="32"/>
        </w:rPr>
        <w:t>国土资源、住房城乡</w:t>
      </w:r>
      <w:r>
        <w:rPr>
          <w:rFonts w:hint="eastAsia"/>
          <w:sz w:val="32"/>
        </w:rPr>
        <w:t>建设部门“应按照文物保护优先原则和“多规合一”要求，将文物保护作为强制性内容纳入城乡规划实施管理。负责依法对文物保护范围、建控地带及景观协调区范围内的建设项目的审批”。根据文物保护“属地管理”原则，四堡镇人民政府应牵头做好以上法律法规和相关政策的落实工作。</w:t>
      </w:r>
    </w:p>
    <w:p w:rsidR="00DA29B6" w:rsidRDefault="00DA29B6" w:rsidP="00E734F9">
      <w:pPr>
        <w:spacing w:line="600" w:lineRule="exact"/>
        <w:ind w:firstLine="31680"/>
      </w:pPr>
      <w:r>
        <w:rPr>
          <w:rFonts w:hint="eastAsia"/>
        </w:rPr>
        <w:t>感谢你们对我县文物工作的关心和支持。</w:t>
      </w:r>
    </w:p>
    <w:p w:rsidR="00DA29B6" w:rsidRDefault="00DA29B6" w:rsidP="00E734F9">
      <w:pPr>
        <w:spacing w:line="600" w:lineRule="exact"/>
        <w:ind w:firstLine="31680"/>
      </w:pPr>
    </w:p>
    <w:p w:rsidR="00DA29B6" w:rsidRDefault="00DA29B6" w:rsidP="00E734F9">
      <w:pPr>
        <w:spacing w:line="600" w:lineRule="exact"/>
        <w:ind w:firstLine="31680"/>
      </w:pPr>
      <w:r>
        <w:rPr>
          <w:rFonts w:hint="eastAsia"/>
        </w:rPr>
        <w:t>单位负责人：傅晓冬</w:t>
      </w:r>
    </w:p>
    <w:p w:rsidR="00DA29B6" w:rsidRDefault="00DA29B6" w:rsidP="00E734F9">
      <w:pPr>
        <w:spacing w:line="600" w:lineRule="exact"/>
        <w:ind w:firstLine="31680"/>
      </w:pPr>
      <w:r>
        <w:rPr>
          <w:rFonts w:hint="eastAsia"/>
        </w:rPr>
        <w:t>联系电话：</w:t>
      </w:r>
      <w:r>
        <w:t>3121188</w:t>
      </w:r>
    </w:p>
    <w:p w:rsidR="00DA29B6" w:rsidRDefault="00DA29B6" w:rsidP="00E734F9">
      <w:pPr>
        <w:spacing w:line="600" w:lineRule="exact"/>
        <w:ind w:firstLine="31680"/>
      </w:pPr>
      <w:r>
        <w:rPr>
          <w:rFonts w:hint="eastAsia"/>
        </w:rPr>
        <w:t>承办人：童思棋</w:t>
      </w:r>
      <w:r>
        <w:t xml:space="preserve"> </w:t>
      </w:r>
    </w:p>
    <w:p w:rsidR="00DA29B6" w:rsidRDefault="00DA29B6" w:rsidP="00E734F9">
      <w:pPr>
        <w:spacing w:line="600" w:lineRule="exact"/>
        <w:ind w:firstLine="31680"/>
      </w:pPr>
      <w:r>
        <w:rPr>
          <w:rFonts w:hint="eastAsia"/>
        </w:rPr>
        <w:t>联系电话：</w:t>
      </w:r>
      <w:r>
        <w:t>3121181</w:t>
      </w: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Chars="1600" w:firstLine="31680"/>
      </w:pPr>
      <w:r>
        <w:t xml:space="preserve"> </w:t>
      </w:r>
      <w:r>
        <w:rPr>
          <w:rFonts w:hint="eastAsia"/>
        </w:rPr>
        <w:t>连城县文化体育和旅游局</w:t>
      </w:r>
    </w:p>
    <w:p w:rsidR="00DA29B6" w:rsidRDefault="00DA29B6" w:rsidP="00E734F9">
      <w:pPr>
        <w:spacing w:line="600" w:lineRule="exact"/>
        <w:ind w:firstLine="31680"/>
      </w:pPr>
      <w:r>
        <w:t xml:space="preserve">                              </w:t>
      </w:r>
      <w:bookmarkStart w:id="0" w:name="_GoBack"/>
      <w:bookmarkEnd w:id="0"/>
      <w:r>
        <w:t xml:space="preserve">   </w:t>
      </w:r>
      <w:smartTag w:uri="urn:schemas-microsoft-com:office:smarttags" w:element="chsdate">
        <w:smartTagPr>
          <w:attr w:name="IsROCDate" w:val="False"/>
          <w:attr w:name="IsLunarDate" w:val="False"/>
          <w:attr w:name="Day" w:val="9"/>
          <w:attr w:name="Month" w:val="4"/>
          <w:attr w:name="Year" w:val="2019"/>
        </w:smartTagPr>
        <w:r>
          <w:t>2019</w:t>
        </w:r>
        <w:r>
          <w:rPr>
            <w:rFonts w:hint="eastAsia"/>
          </w:rPr>
          <w:t>年</w:t>
        </w:r>
        <w:r>
          <w:t>4</w:t>
        </w:r>
        <w:r>
          <w:rPr>
            <w:rFonts w:hint="eastAsia"/>
          </w:rPr>
          <w:t>月</w:t>
        </w:r>
        <w:r>
          <w:t>9</w:t>
        </w:r>
        <w:r>
          <w:rPr>
            <w:rFonts w:hint="eastAsia"/>
          </w:rPr>
          <w:t>日</w:t>
        </w:r>
      </w:smartTag>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E734F9">
      <w:pPr>
        <w:spacing w:line="600" w:lineRule="exact"/>
        <w:ind w:firstLine="31680"/>
      </w:pPr>
    </w:p>
    <w:p w:rsidR="00DA29B6" w:rsidRDefault="00DA29B6" w:rsidP="004B3E39">
      <w:pPr>
        <w:spacing w:line="600" w:lineRule="exact"/>
        <w:ind w:firstLineChars="0" w:firstLine="0"/>
      </w:pPr>
    </w:p>
    <w:tbl>
      <w:tblPr>
        <w:tblW w:w="9060" w:type="dxa"/>
        <w:tblBorders>
          <w:top w:val="single" w:sz="4" w:space="0" w:color="auto"/>
          <w:bottom w:val="single" w:sz="4" w:space="0" w:color="auto"/>
          <w:insideH w:val="single" w:sz="4" w:space="0" w:color="auto"/>
          <w:insideV w:val="single" w:sz="4" w:space="0" w:color="auto"/>
        </w:tblBorders>
        <w:tblLayout w:type="fixed"/>
        <w:tblLook w:val="00A0"/>
      </w:tblPr>
      <w:tblGrid>
        <w:gridCol w:w="9060"/>
      </w:tblGrid>
      <w:tr w:rsidR="00DA29B6" w:rsidTr="00E93253">
        <w:tc>
          <w:tcPr>
            <w:tcW w:w="9060" w:type="dxa"/>
          </w:tcPr>
          <w:p w:rsidR="00DA29B6" w:rsidRPr="00E93253" w:rsidRDefault="00DA29B6" w:rsidP="00DA29B6">
            <w:pPr>
              <w:spacing w:line="600" w:lineRule="exact"/>
              <w:ind w:left="31680" w:hangingChars="400" w:firstLine="31680"/>
              <w:rPr>
                <w:color w:val="000000"/>
              </w:rPr>
            </w:pPr>
            <w:r>
              <w:rPr>
                <w:rFonts w:hint="eastAsia"/>
              </w:rPr>
              <w:t xml:space="preserve">　</w:t>
            </w:r>
            <w:r w:rsidRPr="00E93253">
              <w:rPr>
                <w:rFonts w:hint="eastAsia"/>
                <w:sz w:val="28"/>
                <w:szCs w:val="28"/>
              </w:rPr>
              <w:t>抄送：县人大人事</w:t>
            </w:r>
            <w:r w:rsidRPr="00E93253">
              <w:rPr>
                <w:rFonts w:ascii="仿宋_GB2312" w:hAnsi="仿宋_GB2312" w:cs="仿宋_GB2312" w:hint="eastAsia"/>
                <w:sz w:val="28"/>
                <w:szCs w:val="28"/>
              </w:rPr>
              <w:t>代表</w:t>
            </w:r>
            <w:r w:rsidRPr="00E93253">
              <w:rPr>
                <w:rFonts w:hint="eastAsia"/>
                <w:sz w:val="28"/>
                <w:szCs w:val="28"/>
              </w:rPr>
              <w:t>联络委、县政府督查室，</w:t>
            </w:r>
            <w:r w:rsidRPr="00E93253">
              <w:rPr>
                <w:rFonts w:hint="eastAsia"/>
                <w:color w:val="000000"/>
                <w:sz w:val="28"/>
                <w:szCs w:val="28"/>
              </w:rPr>
              <w:t>存档。</w:t>
            </w:r>
          </w:p>
        </w:tc>
      </w:tr>
    </w:tbl>
    <w:p w:rsidR="00DA29B6" w:rsidRDefault="00DA29B6" w:rsidP="004B3E39">
      <w:pPr>
        <w:spacing w:line="600" w:lineRule="exact"/>
        <w:ind w:firstLineChars="0" w:firstLine="0"/>
      </w:pPr>
    </w:p>
    <w:sectPr w:rsidR="00DA29B6" w:rsidSect="004473DF">
      <w:pgSz w:w="11906" w:h="16838"/>
      <w:pgMar w:top="1701" w:right="1531" w:bottom="1701" w:left="1531" w:header="850"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26885"/>
    <w:multiLevelType w:val="singleLevel"/>
    <w:tmpl w:val="29F26885"/>
    <w:lvl w:ilvl="0">
      <w:start w:val="1"/>
      <w:numFmt w:val="decimal"/>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3E75BDC"/>
    <w:rsid w:val="00370215"/>
    <w:rsid w:val="004473DF"/>
    <w:rsid w:val="004B3E39"/>
    <w:rsid w:val="00544A97"/>
    <w:rsid w:val="00785C24"/>
    <w:rsid w:val="007F42EF"/>
    <w:rsid w:val="009119C3"/>
    <w:rsid w:val="00DA29B6"/>
    <w:rsid w:val="00E734F9"/>
    <w:rsid w:val="00E93253"/>
    <w:rsid w:val="00F21E01"/>
    <w:rsid w:val="028E1325"/>
    <w:rsid w:val="05682A2A"/>
    <w:rsid w:val="05841588"/>
    <w:rsid w:val="06892DA0"/>
    <w:rsid w:val="08B65D87"/>
    <w:rsid w:val="0BB534DC"/>
    <w:rsid w:val="0C933767"/>
    <w:rsid w:val="0E445873"/>
    <w:rsid w:val="10655436"/>
    <w:rsid w:val="12764646"/>
    <w:rsid w:val="19E83D13"/>
    <w:rsid w:val="1D422435"/>
    <w:rsid w:val="213F4395"/>
    <w:rsid w:val="21F21234"/>
    <w:rsid w:val="23E75BDC"/>
    <w:rsid w:val="255A3319"/>
    <w:rsid w:val="255E508A"/>
    <w:rsid w:val="2AAB626D"/>
    <w:rsid w:val="2DF16F0E"/>
    <w:rsid w:val="2F6A3924"/>
    <w:rsid w:val="350E7819"/>
    <w:rsid w:val="36214CFC"/>
    <w:rsid w:val="3AEE05F6"/>
    <w:rsid w:val="3C8666ED"/>
    <w:rsid w:val="3C933F15"/>
    <w:rsid w:val="46DA7424"/>
    <w:rsid w:val="530D573E"/>
    <w:rsid w:val="5A697989"/>
    <w:rsid w:val="5A742C31"/>
    <w:rsid w:val="5CBA484D"/>
    <w:rsid w:val="5D2D0FCE"/>
    <w:rsid w:val="60977F19"/>
    <w:rsid w:val="658D1E1B"/>
    <w:rsid w:val="67A649AB"/>
    <w:rsid w:val="682B3D0D"/>
    <w:rsid w:val="75BF60E6"/>
    <w:rsid w:val="7CD46C08"/>
    <w:rsid w:val="7E230B9C"/>
    <w:rsid w:val="7F6364CD"/>
    <w:rsid w:val="7FA97877"/>
    <w:rsid w:val="7FFF48A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3DF"/>
    <w:pPr>
      <w:widowControl w:val="0"/>
      <w:spacing w:line="590" w:lineRule="exact"/>
      <w:ind w:firstLineChars="200" w:firstLine="640"/>
      <w:jc w:val="both"/>
    </w:pPr>
    <w:rPr>
      <w:rFonts w:eastAsia="仿宋_GB2312"/>
      <w:sz w:val="32"/>
      <w:szCs w:val="32"/>
    </w:rPr>
  </w:style>
  <w:style w:type="paragraph" w:styleId="Heading1">
    <w:name w:val="heading 1"/>
    <w:basedOn w:val="Normal"/>
    <w:next w:val="Normal"/>
    <w:link w:val="Heading1Char"/>
    <w:uiPriority w:val="99"/>
    <w:qFormat/>
    <w:rsid w:val="004473DF"/>
    <w:pPr>
      <w:kinsoku w:val="0"/>
      <w:overflowPunct w:val="0"/>
      <w:autoSpaceDE w:val="0"/>
      <w:autoSpaceDN w:val="0"/>
      <w:ind w:firstLineChars="0" w:firstLine="0"/>
      <w:jc w:val="center"/>
      <w:outlineLvl w:val="0"/>
    </w:pPr>
    <w:rPr>
      <w:rFonts w:ascii="方正小标宋简体" w:eastAsia="方正小标宋简体" w:hAnsi="方正小标宋简体" w:cs="方正小标宋简体"/>
      <w:kern w:val="44"/>
      <w:sz w:val="44"/>
      <w:szCs w:val="4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仿宋_GB2312" w:cs="Times New Roman"/>
      <w:b/>
      <w:bCs/>
      <w:kern w:val="44"/>
      <w:sz w:val="44"/>
      <w:szCs w:val="44"/>
    </w:rPr>
  </w:style>
  <w:style w:type="paragraph" w:styleId="NormalWeb">
    <w:name w:val="Normal (Web)"/>
    <w:basedOn w:val="Normal"/>
    <w:uiPriority w:val="99"/>
    <w:rsid w:val="004473DF"/>
    <w:pPr>
      <w:spacing w:beforeAutospacing="1" w:afterAutospacing="1"/>
      <w:jc w:val="left"/>
    </w:pPr>
    <w:rPr>
      <w:kern w:val="0"/>
      <w:sz w:val="24"/>
    </w:rPr>
  </w:style>
  <w:style w:type="character" w:styleId="Strong">
    <w:name w:val="Strong"/>
    <w:basedOn w:val="DefaultParagraphFont"/>
    <w:uiPriority w:val="99"/>
    <w:qFormat/>
    <w:rsid w:val="004473DF"/>
    <w:rPr>
      <w:rFonts w:cs="Times New Roman"/>
      <w:b/>
    </w:rPr>
  </w:style>
  <w:style w:type="character" w:styleId="FollowedHyperlink">
    <w:name w:val="FollowedHyperlink"/>
    <w:basedOn w:val="DefaultParagraphFont"/>
    <w:uiPriority w:val="99"/>
    <w:rsid w:val="004473DF"/>
    <w:rPr>
      <w:rFonts w:ascii="宋体" w:eastAsia="宋体" w:hAnsi="宋体" w:cs="宋体"/>
      <w:color w:val="4C4C4C"/>
      <w:u w:val="none"/>
    </w:rPr>
  </w:style>
  <w:style w:type="character" w:styleId="Hyperlink">
    <w:name w:val="Hyperlink"/>
    <w:basedOn w:val="DefaultParagraphFont"/>
    <w:uiPriority w:val="99"/>
    <w:rsid w:val="004473DF"/>
    <w:rPr>
      <w:rFonts w:ascii="宋体" w:eastAsia="宋体" w:hAnsi="宋体" w:cs="宋体"/>
      <w:color w:val="4C4C4C"/>
      <w:u w:val="none"/>
    </w:rPr>
  </w:style>
  <w:style w:type="table" w:styleId="TableGrid">
    <w:name w:val="Table Grid"/>
    <w:basedOn w:val="TableNormal"/>
    <w:uiPriority w:val="99"/>
    <w:rsid w:val="004473DF"/>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sharetext">
    <w:name w:val="bsharetext"/>
    <w:basedOn w:val="DefaultParagraphFont"/>
    <w:uiPriority w:val="99"/>
    <w:rsid w:val="004473D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4</Pages>
  <Words>239</Words>
  <Characters>1365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4</cp:revision>
  <cp:lastPrinted>2019-04-02T06:47:00Z</cp:lastPrinted>
  <dcterms:created xsi:type="dcterms:W3CDTF">2019-03-06T01:30:00Z</dcterms:created>
  <dcterms:modified xsi:type="dcterms:W3CDTF">2019-04-10T09:07:00Z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