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66C872D">
      <w:pPr>
        <w:spacing w:line="600" w:lineRule="exact"/>
        <w:jc w:val="center"/>
        <w:rPr>
          <w:rFonts w:hint="eastAsia" w:ascii="方正小标宋简体" w:hAnsi="方正小标宋简体" w:eastAsia="方正小标宋简体"/>
          <w:sz w:val="44"/>
        </w:rPr>
      </w:pPr>
      <w:bookmarkStart w:id="11" w:name="_GoBack"/>
      <w:bookmarkEnd w:id="11"/>
      <w:r>
        <w:rPr>
          <w:rFonts w:hint="eastAsia" w:ascii="方正小标宋简体" w:hAnsi="方正小标宋简体" w:eastAsia="方正小标宋简体"/>
          <w:sz w:val="44"/>
        </w:rPr>
        <w:t>连城县住房和城乡建设局</w:t>
      </w:r>
    </w:p>
    <w:p w14:paraId="350A1A8E">
      <w:pPr>
        <w:spacing w:line="600" w:lineRule="exact"/>
        <w:jc w:val="center"/>
        <w:rPr>
          <w:rFonts w:hint="eastAsia" w:ascii="方正小标宋简体" w:hAnsi="方正小标宋简体" w:eastAsia="方正小标宋简体"/>
          <w:sz w:val="44"/>
        </w:rPr>
      </w:pPr>
      <w:r>
        <w:rPr>
          <w:rFonts w:hint="eastAsia" w:ascii="方正小标宋简体" w:hAnsi="方正小标宋简体" w:eastAsia="方正小标宋简体"/>
          <w:sz w:val="44"/>
        </w:rPr>
        <w:t>2026年普法责任清单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49"/>
        <w:gridCol w:w="1434"/>
        <w:gridCol w:w="3466"/>
        <w:gridCol w:w="1651"/>
      </w:tblGrid>
      <w:tr w14:paraId="73307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3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328E5C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sz w:val="21"/>
              </w:rPr>
              <w:t>重点宣传的法律法规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832BFD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sz w:val="21"/>
              </w:rPr>
              <w:t>普法对象</w:t>
            </w:r>
          </w:p>
        </w:tc>
        <w:tc>
          <w:tcPr>
            <w:tcW w:w="3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E2F75B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sz w:val="21"/>
              </w:rPr>
              <w:t>主要措施</w:t>
            </w:r>
          </w:p>
        </w:tc>
        <w:tc>
          <w:tcPr>
            <w:tcW w:w="1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8BBA73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sz w:val="21"/>
              </w:rPr>
              <w:t>责任股室</w:t>
            </w:r>
          </w:p>
        </w:tc>
      </w:tr>
      <w:tr w14:paraId="456E9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3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F523F4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中华人民共和国宪法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92F66F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公民</w:t>
            </w:r>
          </w:p>
        </w:tc>
        <w:tc>
          <w:tcPr>
            <w:tcW w:w="3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5F2C92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集中学习宣传、法治宣传专栏、宪法日主题宣传活动</w:t>
            </w:r>
          </w:p>
        </w:tc>
        <w:tc>
          <w:tcPr>
            <w:tcW w:w="1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ED8DD2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各股室部门</w:t>
            </w:r>
          </w:p>
        </w:tc>
      </w:tr>
      <w:tr w14:paraId="1B850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3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32E9B6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习近平法治思想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E1549F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公民</w:t>
            </w:r>
          </w:p>
        </w:tc>
        <w:tc>
          <w:tcPr>
            <w:tcW w:w="3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F7CC58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集中学习宣传、法治宣传专栏</w:t>
            </w:r>
          </w:p>
        </w:tc>
        <w:tc>
          <w:tcPr>
            <w:tcW w:w="1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A2EC2E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各股室部门</w:t>
            </w:r>
          </w:p>
        </w:tc>
      </w:tr>
      <w:tr w14:paraId="54AC3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3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A566ED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国家安全观、反间谍法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ED8134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公民</w:t>
            </w:r>
          </w:p>
        </w:tc>
        <w:tc>
          <w:tcPr>
            <w:tcW w:w="3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195190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集中学习宣传、法治宣传专栏、</w:t>
            </w:r>
          </w:p>
        </w:tc>
        <w:tc>
          <w:tcPr>
            <w:tcW w:w="1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49E21F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各股室部门</w:t>
            </w:r>
          </w:p>
        </w:tc>
      </w:tr>
      <w:tr w14:paraId="5BC3F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3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B803B1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民法典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74362D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公民</w:t>
            </w:r>
          </w:p>
        </w:tc>
        <w:tc>
          <w:tcPr>
            <w:tcW w:w="3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35DCAF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集中学习宣传、法治宣传专栏、主题宣传活动</w:t>
            </w:r>
          </w:p>
        </w:tc>
        <w:tc>
          <w:tcPr>
            <w:tcW w:w="1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72A886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各股室部门</w:t>
            </w:r>
          </w:p>
        </w:tc>
      </w:tr>
      <w:tr w14:paraId="37EAF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3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6913C6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新《中华人民共和国行政复议法》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3DCFF2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公民</w:t>
            </w:r>
          </w:p>
        </w:tc>
        <w:tc>
          <w:tcPr>
            <w:tcW w:w="3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AEBF56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集中学习宣传、法治宣传专栏、主题宣传活动</w:t>
            </w:r>
          </w:p>
        </w:tc>
        <w:tc>
          <w:tcPr>
            <w:tcW w:w="1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DD4542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各股室部门</w:t>
            </w:r>
          </w:p>
        </w:tc>
      </w:tr>
      <w:tr w14:paraId="4112D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3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B528C0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法治宣传教育法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9A6D64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公民</w:t>
            </w:r>
          </w:p>
        </w:tc>
        <w:tc>
          <w:tcPr>
            <w:tcW w:w="3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360911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集中学习宣传、法治宣传专栏、</w:t>
            </w:r>
          </w:p>
        </w:tc>
        <w:tc>
          <w:tcPr>
            <w:tcW w:w="1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3CB7A9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各股室部门</w:t>
            </w:r>
          </w:p>
        </w:tc>
      </w:tr>
      <w:tr w14:paraId="4EC17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3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6C890D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防范电信网络诈骗相关法律法规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22CA5C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公民</w:t>
            </w:r>
          </w:p>
        </w:tc>
        <w:tc>
          <w:tcPr>
            <w:tcW w:w="3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21531A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集中学习宣传、法治宣传专栏、主题宣传活动</w:t>
            </w:r>
          </w:p>
        </w:tc>
        <w:tc>
          <w:tcPr>
            <w:tcW w:w="1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5FFCE7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各股室部门</w:t>
            </w:r>
          </w:p>
        </w:tc>
      </w:tr>
      <w:tr w14:paraId="55077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3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D5012C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防范非法集资相关法律法规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287FA7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公民</w:t>
            </w:r>
          </w:p>
        </w:tc>
        <w:tc>
          <w:tcPr>
            <w:tcW w:w="3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F55263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集中学习宣传、法治宣传专栏、主题宣传活动</w:t>
            </w:r>
          </w:p>
        </w:tc>
        <w:tc>
          <w:tcPr>
            <w:tcW w:w="1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1EF581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各股室部门</w:t>
            </w:r>
          </w:p>
        </w:tc>
      </w:tr>
      <w:tr w14:paraId="67831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3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2CC2D0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常态化扫黑除恶相关法律法规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667F68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公民</w:t>
            </w:r>
          </w:p>
        </w:tc>
        <w:tc>
          <w:tcPr>
            <w:tcW w:w="3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383473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集中学习宣传、法治宣传专栏、结合日常工作宣传</w:t>
            </w:r>
          </w:p>
        </w:tc>
        <w:tc>
          <w:tcPr>
            <w:tcW w:w="1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73F30A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各股室部门</w:t>
            </w:r>
          </w:p>
        </w:tc>
      </w:tr>
      <w:tr w14:paraId="55218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3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8960E5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打击养老诈骗相关法律法规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1EB419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公民</w:t>
            </w:r>
          </w:p>
        </w:tc>
        <w:tc>
          <w:tcPr>
            <w:tcW w:w="3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16B877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集中学习宣传、法治宣传专栏</w:t>
            </w:r>
          </w:p>
        </w:tc>
        <w:tc>
          <w:tcPr>
            <w:tcW w:w="1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AA53D5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各股室部门</w:t>
            </w:r>
          </w:p>
        </w:tc>
      </w:tr>
      <w:tr w14:paraId="60EE3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3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91B902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反有组织犯罪法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31892D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公民</w:t>
            </w:r>
          </w:p>
        </w:tc>
        <w:tc>
          <w:tcPr>
            <w:tcW w:w="3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F79370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集中学习宣传、法治宣传专栏、主题宣传活动</w:t>
            </w:r>
          </w:p>
        </w:tc>
        <w:tc>
          <w:tcPr>
            <w:tcW w:w="1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950AF3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各股室部门</w:t>
            </w:r>
          </w:p>
        </w:tc>
      </w:tr>
      <w:tr w14:paraId="54345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3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1C0C8D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信访工作条例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60250A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公民</w:t>
            </w:r>
          </w:p>
        </w:tc>
        <w:tc>
          <w:tcPr>
            <w:tcW w:w="3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EF817C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集中学习宣传、法治宣传专栏</w:t>
            </w:r>
          </w:p>
        </w:tc>
        <w:tc>
          <w:tcPr>
            <w:tcW w:w="1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2B8D81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各股室部门</w:t>
            </w:r>
          </w:p>
        </w:tc>
      </w:tr>
      <w:tr w14:paraId="2B5B6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3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2BB2E3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个人信息保护法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D9846A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公民</w:t>
            </w:r>
          </w:p>
        </w:tc>
        <w:tc>
          <w:tcPr>
            <w:tcW w:w="3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96ABCC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集中学习宣传</w:t>
            </w:r>
          </w:p>
        </w:tc>
        <w:tc>
          <w:tcPr>
            <w:tcW w:w="1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194E78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各股室部门</w:t>
            </w:r>
          </w:p>
        </w:tc>
      </w:tr>
      <w:tr w14:paraId="6E9DC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3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E2C846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家庭教育促进法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C38075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公民</w:t>
            </w:r>
          </w:p>
        </w:tc>
        <w:tc>
          <w:tcPr>
            <w:tcW w:w="3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A3CBCD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集中学习宣传</w:t>
            </w:r>
          </w:p>
        </w:tc>
        <w:tc>
          <w:tcPr>
            <w:tcW w:w="1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4123A9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各股室部门</w:t>
            </w:r>
          </w:p>
        </w:tc>
      </w:tr>
      <w:tr w14:paraId="7C06B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3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AC02AC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噪声污染防治法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EF17CB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公民</w:t>
            </w:r>
          </w:p>
        </w:tc>
        <w:tc>
          <w:tcPr>
            <w:tcW w:w="3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A7EF2F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集中学习宣传</w:t>
            </w:r>
          </w:p>
        </w:tc>
        <w:tc>
          <w:tcPr>
            <w:tcW w:w="1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2FEFD6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各股室部门</w:t>
            </w:r>
          </w:p>
        </w:tc>
      </w:tr>
      <w:tr w14:paraId="2A976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3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32F85B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地方性法律法规如《龙岩市文明规范行政执法办法》《龙岩市行政执法用语规范指引》《龙岩市涉企行政执法检查备案管理制度（试行）》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C1F4B0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公民</w:t>
            </w:r>
          </w:p>
        </w:tc>
        <w:tc>
          <w:tcPr>
            <w:tcW w:w="3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839D32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集中学习宣传、执法主题培训</w:t>
            </w:r>
          </w:p>
        </w:tc>
        <w:tc>
          <w:tcPr>
            <w:tcW w:w="1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7E5CBF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法制股、各股室部门</w:t>
            </w:r>
          </w:p>
        </w:tc>
      </w:tr>
      <w:tr w14:paraId="0E9D6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3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4C4882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龙岩市烟花爆竹燃放管理条例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2095A7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公民</w:t>
            </w:r>
          </w:p>
        </w:tc>
        <w:tc>
          <w:tcPr>
            <w:tcW w:w="3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08A251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法治宣传专栏</w:t>
            </w:r>
          </w:p>
        </w:tc>
        <w:tc>
          <w:tcPr>
            <w:tcW w:w="1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5B15C1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法制股</w:t>
            </w:r>
          </w:p>
        </w:tc>
      </w:tr>
      <w:tr w14:paraId="7A00A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3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6EC377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龙岩市饮用水水源保</w:t>
            </w:r>
          </w:p>
          <w:p w14:paraId="0F8E3B2C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护条例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EEFDC0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公民</w:t>
            </w:r>
          </w:p>
        </w:tc>
        <w:tc>
          <w:tcPr>
            <w:tcW w:w="3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6E95DB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法治宣传专栏</w:t>
            </w:r>
          </w:p>
        </w:tc>
        <w:tc>
          <w:tcPr>
            <w:tcW w:w="1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65E671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法制股</w:t>
            </w:r>
          </w:p>
        </w:tc>
      </w:tr>
      <w:tr w14:paraId="08A3D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3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C74932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龙岩市实施河长制条例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D5CC58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公民</w:t>
            </w:r>
          </w:p>
        </w:tc>
        <w:tc>
          <w:tcPr>
            <w:tcW w:w="3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56FA1C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法治宣传专栏</w:t>
            </w:r>
          </w:p>
        </w:tc>
        <w:tc>
          <w:tcPr>
            <w:tcW w:w="1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81D877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法制股</w:t>
            </w:r>
          </w:p>
        </w:tc>
      </w:tr>
      <w:tr w14:paraId="19785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3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63213B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龙岩市人民代表大会及其常务委员会立法条例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8975AA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公民</w:t>
            </w:r>
          </w:p>
        </w:tc>
        <w:tc>
          <w:tcPr>
            <w:tcW w:w="3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F11FC1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法治宣传专栏</w:t>
            </w:r>
          </w:p>
        </w:tc>
        <w:tc>
          <w:tcPr>
            <w:tcW w:w="1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480E5E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法制股</w:t>
            </w:r>
          </w:p>
        </w:tc>
      </w:tr>
      <w:tr w14:paraId="305530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3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B463B7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龙岩市实施林长制条例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CD2221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公民</w:t>
            </w:r>
          </w:p>
        </w:tc>
        <w:tc>
          <w:tcPr>
            <w:tcW w:w="3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C87975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法治宣传专栏</w:t>
            </w:r>
          </w:p>
        </w:tc>
        <w:tc>
          <w:tcPr>
            <w:tcW w:w="1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64C150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法制股</w:t>
            </w:r>
          </w:p>
        </w:tc>
      </w:tr>
      <w:tr w14:paraId="05657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3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A17323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龙岩市暴雨灾害预警与响应条例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1A0859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公民</w:t>
            </w:r>
          </w:p>
        </w:tc>
        <w:tc>
          <w:tcPr>
            <w:tcW w:w="3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8D8AD1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法治宣传专栏</w:t>
            </w:r>
          </w:p>
        </w:tc>
        <w:tc>
          <w:tcPr>
            <w:tcW w:w="1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856D39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法制股</w:t>
            </w:r>
          </w:p>
        </w:tc>
      </w:tr>
      <w:tr w14:paraId="4B81F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3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76235F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龙岩市扬尘污染防治条例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7CB7BF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公民</w:t>
            </w:r>
          </w:p>
        </w:tc>
        <w:tc>
          <w:tcPr>
            <w:tcW w:w="3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7FD87E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法治宣传专栏</w:t>
            </w:r>
          </w:p>
        </w:tc>
        <w:tc>
          <w:tcPr>
            <w:tcW w:w="1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E32D11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法制股</w:t>
            </w:r>
          </w:p>
        </w:tc>
      </w:tr>
      <w:tr w14:paraId="3DCD3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3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18C8B8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龙岩市红色文化遗存保护条例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BD9B57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公民</w:t>
            </w:r>
          </w:p>
        </w:tc>
        <w:tc>
          <w:tcPr>
            <w:tcW w:w="3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7E4605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法治宣传专栏</w:t>
            </w:r>
          </w:p>
        </w:tc>
        <w:tc>
          <w:tcPr>
            <w:tcW w:w="1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872CA5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法制股</w:t>
            </w:r>
          </w:p>
        </w:tc>
      </w:tr>
      <w:tr w14:paraId="005588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3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D8F961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龙岩市客家文化保护条例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083A3F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公民</w:t>
            </w:r>
          </w:p>
        </w:tc>
        <w:tc>
          <w:tcPr>
            <w:tcW w:w="3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98BA69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法治宣传专栏</w:t>
            </w:r>
          </w:p>
        </w:tc>
        <w:tc>
          <w:tcPr>
            <w:tcW w:w="1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D81041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法制股</w:t>
            </w:r>
          </w:p>
        </w:tc>
      </w:tr>
      <w:tr w14:paraId="6331E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3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2CC051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龙岩市农村人居环境治理条例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956FC6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公民</w:t>
            </w:r>
          </w:p>
        </w:tc>
        <w:tc>
          <w:tcPr>
            <w:tcW w:w="3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6F9F68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法治宣传专栏</w:t>
            </w:r>
          </w:p>
        </w:tc>
        <w:tc>
          <w:tcPr>
            <w:tcW w:w="1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5A89AB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法制股</w:t>
            </w:r>
          </w:p>
        </w:tc>
      </w:tr>
      <w:tr w14:paraId="64A51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3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8AD277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龙岩市中小学校幼儿园规划建设条例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0CA5FC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公民</w:t>
            </w:r>
          </w:p>
        </w:tc>
        <w:tc>
          <w:tcPr>
            <w:tcW w:w="3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EFDA41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法治宣传专栏</w:t>
            </w:r>
          </w:p>
        </w:tc>
        <w:tc>
          <w:tcPr>
            <w:tcW w:w="1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1813A4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法制股</w:t>
            </w:r>
          </w:p>
        </w:tc>
      </w:tr>
      <w:tr w14:paraId="0BDBF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3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3912C8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党章、党内法律法规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C68013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党员</w:t>
            </w:r>
          </w:p>
        </w:tc>
        <w:tc>
          <w:tcPr>
            <w:tcW w:w="3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3D75FA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bookmarkStart w:id="1" w:name="OLE_LINK3"/>
            <w:bookmarkStart w:id="2" w:name="OLE_LINK4"/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列入理论学习中心组学习内容。通过“三会一课”、主题党日活动等形式开展宣传教育。</w:t>
            </w:r>
            <w:bookmarkEnd w:id="1"/>
            <w:bookmarkEnd w:id="2"/>
          </w:p>
        </w:tc>
        <w:tc>
          <w:tcPr>
            <w:tcW w:w="1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813F9E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党办、党支部各股室部门</w:t>
            </w:r>
          </w:p>
        </w:tc>
      </w:tr>
      <w:tr w14:paraId="7217E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3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B45623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中国共产党纪律处分条例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FB50B9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党员</w:t>
            </w:r>
          </w:p>
        </w:tc>
        <w:tc>
          <w:tcPr>
            <w:tcW w:w="3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E1EEF2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列入理论学习中心组学习内容。通过“三会一课”、主题党日活动等形式开展宣传教育。</w:t>
            </w:r>
          </w:p>
        </w:tc>
        <w:tc>
          <w:tcPr>
            <w:tcW w:w="1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D8FBD1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党办、党支部各股室部门</w:t>
            </w:r>
          </w:p>
        </w:tc>
      </w:tr>
      <w:tr w14:paraId="2FA61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3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D4FCC6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生活饮用水卫生监督管理办法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24EE04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公民</w:t>
            </w:r>
          </w:p>
        </w:tc>
        <w:tc>
          <w:tcPr>
            <w:tcW w:w="3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595241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发动企业开展宣传</w:t>
            </w:r>
          </w:p>
        </w:tc>
        <w:tc>
          <w:tcPr>
            <w:tcW w:w="1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6321AA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供水中心</w:t>
            </w:r>
          </w:p>
        </w:tc>
      </w:tr>
      <w:tr w14:paraId="226C2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3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399B4F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福建省城乡供水条例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FD7DE8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公民</w:t>
            </w:r>
          </w:p>
        </w:tc>
        <w:tc>
          <w:tcPr>
            <w:tcW w:w="3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542C01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发动企业开展宣传</w:t>
            </w:r>
          </w:p>
        </w:tc>
        <w:tc>
          <w:tcPr>
            <w:tcW w:w="1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56B050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供水中心</w:t>
            </w:r>
          </w:p>
        </w:tc>
      </w:tr>
      <w:tr w14:paraId="63F35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3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465334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城市房地产开发经营管理条例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85D97F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房地产开发经营企业</w:t>
            </w:r>
          </w:p>
        </w:tc>
        <w:tc>
          <w:tcPr>
            <w:tcW w:w="3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9EF1BB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结合日常监管工作政策宣传</w:t>
            </w:r>
          </w:p>
        </w:tc>
        <w:tc>
          <w:tcPr>
            <w:tcW w:w="1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74C79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住房和房地产业股</w:t>
            </w:r>
          </w:p>
        </w:tc>
      </w:tr>
      <w:tr w14:paraId="59790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3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B935B6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房地产开发企业资质管理规定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EEC6C7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房地产开发经营企业</w:t>
            </w:r>
          </w:p>
        </w:tc>
        <w:tc>
          <w:tcPr>
            <w:tcW w:w="3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E14AB0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结合日常监管工作政策宣传</w:t>
            </w:r>
          </w:p>
        </w:tc>
        <w:tc>
          <w:tcPr>
            <w:tcW w:w="1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502A04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住房和房地产业股</w:t>
            </w:r>
          </w:p>
        </w:tc>
      </w:tr>
      <w:tr w14:paraId="35A9E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3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DB0133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商品房预售管理办法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1A7908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房地产开发经营企业</w:t>
            </w:r>
          </w:p>
        </w:tc>
        <w:tc>
          <w:tcPr>
            <w:tcW w:w="3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D2D87E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结合日常监管工作政策宣传</w:t>
            </w:r>
          </w:p>
        </w:tc>
        <w:tc>
          <w:tcPr>
            <w:tcW w:w="1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284CD1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住房和房地产业股</w:t>
            </w:r>
          </w:p>
        </w:tc>
      </w:tr>
      <w:tr w14:paraId="33ECD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3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FD82A4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连城县商品房预售资金监管暂行办法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1D07F0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房地产开发经营企业</w:t>
            </w:r>
          </w:p>
        </w:tc>
        <w:tc>
          <w:tcPr>
            <w:tcW w:w="3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D832CB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结合日常监管工作政策宣传</w:t>
            </w:r>
          </w:p>
        </w:tc>
        <w:tc>
          <w:tcPr>
            <w:tcW w:w="1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245B26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住房和房地产业股</w:t>
            </w:r>
          </w:p>
        </w:tc>
      </w:tr>
      <w:tr w14:paraId="0B31B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3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712182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住房租赁条例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99CFDA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住房租赁企业、住房租赁经纪机构</w:t>
            </w:r>
          </w:p>
        </w:tc>
        <w:tc>
          <w:tcPr>
            <w:tcW w:w="3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32860F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结合日常监管工作政策宣传</w:t>
            </w:r>
          </w:p>
        </w:tc>
        <w:tc>
          <w:tcPr>
            <w:tcW w:w="1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6901DA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住房和房地产业股</w:t>
            </w:r>
          </w:p>
        </w:tc>
      </w:tr>
      <w:tr w14:paraId="72738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3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F6CFF7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房地产经纪管理办法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F7EC2F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房地产经纪机构</w:t>
            </w:r>
          </w:p>
        </w:tc>
        <w:tc>
          <w:tcPr>
            <w:tcW w:w="3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04162C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结合日常监管工作政策宣传</w:t>
            </w:r>
          </w:p>
        </w:tc>
        <w:tc>
          <w:tcPr>
            <w:tcW w:w="1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7A44C2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住房和房地产业股</w:t>
            </w:r>
          </w:p>
        </w:tc>
      </w:tr>
      <w:tr w14:paraId="05C48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3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2F4545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国有土地上房屋征收与补偿条例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ADF0E8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公民</w:t>
            </w:r>
          </w:p>
        </w:tc>
        <w:tc>
          <w:tcPr>
            <w:tcW w:w="3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40F56A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结合各类主题活动发放宣传材料</w:t>
            </w:r>
          </w:p>
        </w:tc>
        <w:tc>
          <w:tcPr>
            <w:tcW w:w="1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79B3E9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征补中心</w:t>
            </w:r>
          </w:p>
        </w:tc>
      </w:tr>
      <w:tr w14:paraId="28770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3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507DC1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建筑法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BEA17A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筑业企业</w:t>
            </w:r>
          </w:p>
        </w:tc>
        <w:tc>
          <w:tcPr>
            <w:tcW w:w="3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5E11FE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bookmarkStart w:id="3" w:name="OLE_LINK23"/>
            <w:bookmarkStart w:id="4" w:name="OLE_LINK24"/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结合建筑市场行为检查工作及合同履约评价工作进行普法宣传。</w:t>
            </w:r>
            <w:bookmarkEnd w:id="3"/>
            <w:bookmarkEnd w:id="4"/>
          </w:p>
        </w:tc>
        <w:tc>
          <w:tcPr>
            <w:tcW w:w="1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2686E2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建筑业股</w:t>
            </w:r>
          </w:p>
        </w:tc>
      </w:tr>
      <w:tr w14:paraId="6B5C2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3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26A185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招标投标法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7209F2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建筑业企业</w:t>
            </w:r>
          </w:p>
        </w:tc>
        <w:tc>
          <w:tcPr>
            <w:tcW w:w="3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645947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结合建筑市场行为检查工作及合同履约评价工作进行普法宣传。</w:t>
            </w:r>
          </w:p>
        </w:tc>
        <w:tc>
          <w:tcPr>
            <w:tcW w:w="1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F31F0F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建筑业股</w:t>
            </w:r>
          </w:p>
        </w:tc>
      </w:tr>
      <w:tr w14:paraId="4C083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3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B2FEDB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建筑业企业资质管理规定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F69965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建筑业企业</w:t>
            </w:r>
          </w:p>
        </w:tc>
        <w:tc>
          <w:tcPr>
            <w:tcW w:w="3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9C0A14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结合建筑市场行为检查工作及合同履约评价工作进行普法宣传。</w:t>
            </w:r>
          </w:p>
        </w:tc>
        <w:tc>
          <w:tcPr>
            <w:tcW w:w="1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AF2546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建筑业股</w:t>
            </w:r>
          </w:p>
        </w:tc>
      </w:tr>
      <w:tr w14:paraId="4C1F2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3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6C7198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福建省招标投标条例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BCBFF2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建筑业企业</w:t>
            </w:r>
          </w:p>
        </w:tc>
        <w:tc>
          <w:tcPr>
            <w:tcW w:w="3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164A24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结合建筑市场行为检查工作及合同履约评价工作进行普法宣传。</w:t>
            </w:r>
          </w:p>
        </w:tc>
        <w:tc>
          <w:tcPr>
            <w:tcW w:w="1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CD0F6F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建筑业股</w:t>
            </w:r>
          </w:p>
        </w:tc>
      </w:tr>
      <w:tr w14:paraId="7ADA7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3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B0E6E5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建筑工程施工许可管理办法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92B779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建筑业企业</w:t>
            </w:r>
          </w:p>
        </w:tc>
        <w:tc>
          <w:tcPr>
            <w:tcW w:w="3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6800DD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结合建筑市场行为检查工作及合同履约评价工作进行普法宣传。</w:t>
            </w:r>
          </w:p>
        </w:tc>
        <w:tc>
          <w:tcPr>
            <w:tcW w:w="1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BDA9DE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建筑业股</w:t>
            </w:r>
          </w:p>
        </w:tc>
      </w:tr>
      <w:tr w14:paraId="5FBA3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3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BD2B58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保障农民工工资支付条例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45AFAF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建筑业企业及农民工</w:t>
            </w:r>
          </w:p>
        </w:tc>
        <w:tc>
          <w:tcPr>
            <w:tcW w:w="3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914004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结合建筑市场行为检查工作及合同履约评价工作进行普法宣传。</w:t>
            </w:r>
          </w:p>
        </w:tc>
        <w:tc>
          <w:tcPr>
            <w:tcW w:w="1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3D4D07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建筑业股</w:t>
            </w:r>
          </w:p>
        </w:tc>
      </w:tr>
      <w:tr w14:paraId="30A0C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3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4CAD24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房屋建筑和市政基础设施工程施工招标投标管理办法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EFB706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建筑业企业</w:t>
            </w:r>
          </w:p>
        </w:tc>
        <w:tc>
          <w:tcPr>
            <w:tcW w:w="3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03F354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结合建筑市场行为检查工作及合同履约评价工作进行普法宣传。</w:t>
            </w:r>
          </w:p>
        </w:tc>
        <w:tc>
          <w:tcPr>
            <w:tcW w:w="1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93EAB9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建筑业股</w:t>
            </w:r>
          </w:p>
        </w:tc>
      </w:tr>
      <w:tr w14:paraId="268DE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3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051B73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城镇燃气管理条例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CAAD7E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燃气企业</w:t>
            </w:r>
          </w:p>
        </w:tc>
        <w:tc>
          <w:tcPr>
            <w:tcW w:w="3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3A4835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教育宣传，以教育与处罚相结合模式处理。</w:t>
            </w:r>
          </w:p>
        </w:tc>
        <w:tc>
          <w:tcPr>
            <w:tcW w:w="1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468548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燃气建设站</w:t>
            </w:r>
          </w:p>
        </w:tc>
      </w:tr>
      <w:tr w14:paraId="77C38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3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77520C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福建省燃气管理条例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6D1436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燃气企业</w:t>
            </w:r>
          </w:p>
        </w:tc>
        <w:tc>
          <w:tcPr>
            <w:tcW w:w="3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F3D14A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教育宣传，以教育与处罚相结合模式处理。</w:t>
            </w:r>
          </w:p>
        </w:tc>
        <w:tc>
          <w:tcPr>
            <w:tcW w:w="1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4E8690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燃气建设站</w:t>
            </w:r>
          </w:p>
        </w:tc>
      </w:tr>
      <w:tr w14:paraId="59571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3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2DBFBA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建设工程质量检测管理办法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B163AB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bookmarkStart w:id="5" w:name="OLE_LINK21"/>
            <w:bookmarkStart w:id="6" w:name="OLE_LINK22"/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建筑企业</w:t>
            </w:r>
            <w:bookmarkEnd w:id="5"/>
            <w:bookmarkEnd w:id="6"/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、工人</w:t>
            </w:r>
          </w:p>
        </w:tc>
        <w:tc>
          <w:tcPr>
            <w:tcW w:w="3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667541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bookmarkStart w:id="7" w:name="OLE_LINK20"/>
            <w:bookmarkStart w:id="8" w:name="OLE_LINK19"/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结合双随机考评、日常检查等现场检查工作，发放普法宣传材料，开展现场宣贯工作</w:t>
            </w:r>
            <w:bookmarkEnd w:id="7"/>
            <w:bookmarkEnd w:id="8"/>
          </w:p>
        </w:tc>
        <w:tc>
          <w:tcPr>
            <w:tcW w:w="1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21C1CE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质安站</w:t>
            </w:r>
          </w:p>
        </w:tc>
      </w:tr>
      <w:tr w14:paraId="701E9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3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CA451B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福建省建设工程质量检测管理实施细则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5EEAB2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建筑企业、工人</w:t>
            </w:r>
          </w:p>
        </w:tc>
        <w:tc>
          <w:tcPr>
            <w:tcW w:w="3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9FFAF2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结合双随机考评、日常检查等现场检查工作，发放普法宣传材料，开展现场宣贯工作</w:t>
            </w:r>
          </w:p>
        </w:tc>
        <w:tc>
          <w:tcPr>
            <w:tcW w:w="1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703106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质安站</w:t>
            </w:r>
          </w:p>
        </w:tc>
      </w:tr>
      <w:tr w14:paraId="3839E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3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0E2AAA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建设工程质量管理条例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9F1E82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建筑企业、工人</w:t>
            </w:r>
          </w:p>
        </w:tc>
        <w:tc>
          <w:tcPr>
            <w:tcW w:w="3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57AC53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结合双随机考评、日常检查等现场检查工作，发放普法宣传材料，开展现场宣贯工作</w:t>
            </w:r>
          </w:p>
        </w:tc>
        <w:tc>
          <w:tcPr>
            <w:tcW w:w="1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B68D37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质安站</w:t>
            </w:r>
          </w:p>
        </w:tc>
      </w:tr>
      <w:tr w14:paraId="14BA7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3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EC2DD0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建筑工程五方责任主体项目负责人质量终身责任追究暂行办法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18BFEC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建筑企业、工人</w:t>
            </w:r>
          </w:p>
        </w:tc>
        <w:tc>
          <w:tcPr>
            <w:tcW w:w="3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7F655B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结合双随机考评、日常检查等现场检查工作，发放普法宣传材料，开展现场宣贯工作</w:t>
            </w:r>
          </w:p>
        </w:tc>
        <w:tc>
          <w:tcPr>
            <w:tcW w:w="1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87A579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质安站</w:t>
            </w:r>
          </w:p>
        </w:tc>
      </w:tr>
      <w:tr w14:paraId="7FD02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3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7A5D1C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房屋建筑和市政基础设施工程质量监督管理规定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88CB95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建筑企业、工人</w:t>
            </w:r>
          </w:p>
        </w:tc>
        <w:tc>
          <w:tcPr>
            <w:tcW w:w="3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88FB70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结合双随机考评、日常检查等现场检查工作，发放普法宣传材料，开展现场宣贯工作</w:t>
            </w:r>
          </w:p>
        </w:tc>
        <w:tc>
          <w:tcPr>
            <w:tcW w:w="1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2F1659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质安站</w:t>
            </w:r>
          </w:p>
        </w:tc>
      </w:tr>
      <w:tr w14:paraId="7048E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3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4D81B0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建筑施工企业、工程项目安全生产管理机构设置及安全生产管理人员配备办法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306FE3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建筑企业、工人</w:t>
            </w:r>
          </w:p>
        </w:tc>
        <w:tc>
          <w:tcPr>
            <w:tcW w:w="3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5F9533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结合双随机考评、日常检查等现场检查工作，发放普法宣传材料，开展现场宣贯工作</w:t>
            </w:r>
          </w:p>
        </w:tc>
        <w:tc>
          <w:tcPr>
            <w:tcW w:w="1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BDF248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质安站</w:t>
            </w:r>
          </w:p>
        </w:tc>
      </w:tr>
      <w:tr w14:paraId="2BAE5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3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2B3239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建筑施工特种作业人员管理规定</w:t>
            </w:r>
          </w:p>
          <w:p w14:paraId="6B64FBDA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A1EFC1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建筑企业、工人</w:t>
            </w:r>
          </w:p>
        </w:tc>
        <w:tc>
          <w:tcPr>
            <w:tcW w:w="3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9AE95F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结合双随机考评、日常检查等现场检查工作，发放普法宣传材料，开展现场宣贯工作</w:t>
            </w:r>
          </w:p>
        </w:tc>
        <w:tc>
          <w:tcPr>
            <w:tcW w:w="1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CEEB64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质安站</w:t>
            </w:r>
          </w:p>
        </w:tc>
      </w:tr>
      <w:tr w14:paraId="7CBD6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3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9A3213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消防法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D66167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公民、建设单位</w:t>
            </w:r>
          </w:p>
        </w:tc>
        <w:tc>
          <w:tcPr>
            <w:tcW w:w="3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E9AACC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结合志愿者活动、</w:t>
            </w:r>
            <w:bookmarkStart w:id="9" w:name="OLE_LINK1"/>
            <w:bookmarkStart w:id="10" w:name="OLE_LINK2"/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日常审验检查等</w:t>
            </w:r>
            <w:bookmarkEnd w:id="9"/>
            <w:bookmarkEnd w:id="10"/>
          </w:p>
        </w:tc>
        <w:tc>
          <w:tcPr>
            <w:tcW w:w="1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5AF4CD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消化中心</w:t>
            </w:r>
          </w:p>
        </w:tc>
      </w:tr>
      <w:tr w14:paraId="75A84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3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F158E2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建设工程消防设计审查验收管理暂行规定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1E8DD2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公民、建设单位</w:t>
            </w:r>
          </w:p>
        </w:tc>
        <w:tc>
          <w:tcPr>
            <w:tcW w:w="3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237D4C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结合志愿者活动、日常审验检查等</w:t>
            </w:r>
          </w:p>
        </w:tc>
        <w:tc>
          <w:tcPr>
            <w:tcW w:w="1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502ED9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消化中心</w:t>
            </w:r>
          </w:p>
        </w:tc>
      </w:tr>
      <w:tr w14:paraId="4A1EA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3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8F4858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福建省建设工程消防设计审查验收管理暂行实施细则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139276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公民、建设单位</w:t>
            </w:r>
          </w:p>
        </w:tc>
        <w:tc>
          <w:tcPr>
            <w:tcW w:w="3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36BDDC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结合志愿者活动、日常审验检查等</w:t>
            </w:r>
          </w:p>
        </w:tc>
        <w:tc>
          <w:tcPr>
            <w:tcW w:w="1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85F544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消化中心</w:t>
            </w:r>
          </w:p>
        </w:tc>
      </w:tr>
      <w:tr w14:paraId="3AEBA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3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A4DF26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连城县限价商品房管理暂行办法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A5E1B7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公民</w:t>
            </w:r>
          </w:p>
        </w:tc>
        <w:tc>
          <w:tcPr>
            <w:tcW w:w="3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572448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政府部门网站、微信公众号、微博公布</w:t>
            </w:r>
          </w:p>
        </w:tc>
        <w:tc>
          <w:tcPr>
            <w:tcW w:w="1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40DBD4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住房保障中心</w:t>
            </w:r>
          </w:p>
        </w:tc>
      </w:tr>
      <w:tr w14:paraId="0AEA5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3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BE9ADE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连城县公共租赁住房（含廉租房）管理实施细则（修订）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F3FCAE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公民</w:t>
            </w:r>
          </w:p>
        </w:tc>
        <w:tc>
          <w:tcPr>
            <w:tcW w:w="3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282868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政府部门网站、微信公众号、微博公布</w:t>
            </w:r>
          </w:p>
        </w:tc>
        <w:tc>
          <w:tcPr>
            <w:tcW w:w="1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397AF6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住房保障中心</w:t>
            </w:r>
          </w:p>
        </w:tc>
      </w:tr>
      <w:tr w14:paraId="58F6E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3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3D1DF4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连城县公共租赁住房履约保证金管理暂行办法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2FB535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公民</w:t>
            </w:r>
          </w:p>
        </w:tc>
        <w:tc>
          <w:tcPr>
            <w:tcW w:w="3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859A10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政府部门网站、微信公众号、微博公布</w:t>
            </w:r>
          </w:p>
        </w:tc>
        <w:tc>
          <w:tcPr>
            <w:tcW w:w="1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89BBBC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住房保障中心</w:t>
            </w:r>
          </w:p>
        </w:tc>
      </w:tr>
      <w:tr w14:paraId="7EDDF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3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67A705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住房和城乡建设部关于修改《城镇污水排入 排水管网许可管理办法》的决定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F30319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公民、企业</w:t>
            </w:r>
          </w:p>
        </w:tc>
        <w:tc>
          <w:tcPr>
            <w:tcW w:w="3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D6F2C4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法治宣传专栏、网站公布政策</w:t>
            </w:r>
          </w:p>
        </w:tc>
        <w:tc>
          <w:tcPr>
            <w:tcW w:w="1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5D172F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市政中心</w:t>
            </w:r>
          </w:p>
        </w:tc>
      </w:tr>
      <w:tr w14:paraId="5EE74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3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4D03B1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龙岩市海绵城市条例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192CE0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公民、企业</w:t>
            </w:r>
          </w:p>
        </w:tc>
        <w:tc>
          <w:tcPr>
            <w:tcW w:w="3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B771A0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集中宣传、法治宣传专栏</w:t>
            </w:r>
          </w:p>
        </w:tc>
        <w:tc>
          <w:tcPr>
            <w:tcW w:w="1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F1FFD5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园林中心</w:t>
            </w:r>
          </w:p>
        </w:tc>
      </w:tr>
      <w:tr w14:paraId="64FA9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3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FC70D9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福建省历史文化名城名镇名村和传统村落保护条例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95497E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公民</w:t>
            </w:r>
          </w:p>
        </w:tc>
        <w:tc>
          <w:tcPr>
            <w:tcW w:w="3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C043F5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法治宣传专栏</w:t>
            </w:r>
          </w:p>
        </w:tc>
        <w:tc>
          <w:tcPr>
            <w:tcW w:w="1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C0F166"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</w:pPr>
            <w:r>
              <w:rPr>
                <w:rFonts w:hint="default" w:ascii="Times New Roman" w:hAnsi="Times New Roman" w:eastAsia="仿宋_GB2312"/>
                <w:b w:val="0"/>
                <w:color w:val="000000"/>
                <w:sz w:val="21"/>
              </w:rPr>
              <w:t>传统村落保护利用中心、历史文化名城保护中心</w:t>
            </w:r>
          </w:p>
        </w:tc>
      </w:tr>
    </w:tbl>
    <w:p w14:paraId="5B74ED00">
      <w:pPr>
        <w:spacing w:line="600" w:lineRule="exact"/>
        <w:jc w:val="left"/>
        <w:rPr>
          <w:rFonts w:hint="default" w:ascii="Times New Roman" w:hAnsi="Times New Roman" w:eastAsia="仿宋_GB2312"/>
          <w:color w:val="000000"/>
          <w:sz w:val="32"/>
        </w:rPr>
      </w:pPr>
    </w:p>
    <w:p w14:paraId="7E58D463">
      <w:pPr>
        <w:spacing w:line="600" w:lineRule="exact"/>
        <w:jc w:val="left"/>
        <w:rPr>
          <w:rFonts w:hint="default" w:ascii="Times New Roman" w:hAnsi="Times New Roman" w:eastAsia="仿宋_GB2312"/>
          <w:color w:val="000000"/>
          <w:sz w:val="32"/>
        </w:rPr>
      </w:pPr>
    </w:p>
    <w:p w14:paraId="0D624087">
      <w:pPr>
        <w:spacing w:line="600" w:lineRule="exact"/>
        <w:jc w:val="left"/>
        <w:rPr>
          <w:rFonts w:hint="default" w:ascii="Times New Roman" w:hAnsi="Times New Roman" w:eastAsia="仿宋_GB2312"/>
          <w:color w:val="000000"/>
          <w:sz w:val="32"/>
        </w:rPr>
      </w:pPr>
    </w:p>
    <w:p w14:paraId="331FBBEA">
      <w:pPr>
        <w:spacing w:line="600" w:lineRule="exact"/>
        <w:jc w:val="left"/>
        <w:rPr>
          <w:rFonts w:hint="default" w:ascii="Times New Roman" w:hAnsi="Times New Roman" w:eastAsia="仿宋_GB2312"/>
          <w:color w:val="000000"/>
          <w:sz w:val="32"/>
        </w:rPr>
      </w:pPr>
    </w:p>
    <w:p w14:paraId="6DB29741">
      <w:pPr>
        <w:spacing w:line="600" w:lineRule="exact"/>
        <w:jc w:val="left"/>
        <w:rPr>
          <w:rFonts w:hint="default" w:ascii="Times New Roman" w:hAnsi="Times New Roman" w:eastAsia="仿宋_GB2312"/>
          <w:color w:val="000000"/>
          <w:sz w:val="32"/>
        </w:rPr>
      </w:pPr>
    </w:p>
    <w:p w14:paraId="58064C18">
      <w:pPr>
        <w:spacing w:line="600" w:lineRule="exact"/>
        <w:jc w:val="left"/>
        <w:rPr>
          <w:rFonts w:hint="default" w:ascii="Times New Roman" w:hAnsi="Times New Roman" w:eastAsia="仿宋_GB2312"/>
          <w:color w:val="000000"/>
          <w:sz w:val="32"/>
        </w:rPr>
      </w:pPr>
    </w:p>
    <w:p w14:paraId="5DAC0A66">
      <w:pPr>
        <w:spacing w:line="600" w:lineRule="exact"/>
        <w:jc w:val="left"/>
        <w:rPr>
          <w:rFonts w:hint="default" w:ascii="Times New Roman" w:hAnsi="Times New Roman" w:eastAsia="仿宋_GB2312"/>
          <w:color w:val="000000"/>
          <w:sz w:val="32"/>
        </w:rPr>
      </w:pPr>
    </w:p>
    <w:p w14:paraId="63D924CE">
      <w:pPr>
        <w:spacing w:line="600" w:lineRule="exact"/>
        <w:jc w:val="left"/>
        <w:rPr>
          <w:rFonts w:hint="default" w:ascii="Times New Roman" w:hAnsi="Times New Roman" w:eastAsia="仿宋_GB2312"/>
          <w:color w:val="000000"/>
          <w:sz w:val="32"/>
        </w:rPr>
      </w:pPr>
    </w:p>
    <w:p w14:paraId="0E0C75CA">
      <w:pPr>
        <w:spacing w:line="600" w:lineRule="exact"/>
        <w:jc w:val="left"/>
        <w:rPr>
          <w:rFonts w:hint="default" w:ascii="Times New Roman" w:hAnsi="Times New Roman" w:eastAsia="仿宋_GB2312"/>
          <w:color w:val="000000"/>
          <w:sz w:val="32"/>
        </w:rPr>
      </w:pPr>
    </w:p>
    <w:p w14:paraId="3A91CEBB">
      <w:pPr>
        <w:spacing w:line="600" w:lineRule="exact"/>
        <w:jc w:val="left"/>
        <w:rPr>
          <w:rFonts w:hint="default" w:ascii="Times New Roman" w:hAnsi="Times New Roman" w:eastAsia="仿宋_GB2312"/>
          <w:color w:val="000000"/>
          <w:sz w:val="32"/>
        </w:rPr>
      </w:pPr>
    </w:p>
    <w:p w14:paraId="3F7BA971">
      <w:pPr>
        <w:spacing w:line="600" w:lineRule="exact"/>
        <w:jc w:val="left"/>
        <w:rPr>
          <w:rFonts w:hint="default" w:ascii="Times New Roman" w:hAnsi="Times New Roman" w:eastAsia="仿宋_GB2312"/>
          <w:color w:val="000000"/>
          <w:sz w:val="32"/>
        </w:rPr>
      </w:pPr>
    </w:p>
    <w:p w14:paraId="6237ED46">
      <w:pPr>
        <w:spacing w:line="600" w:lineRule="exact"/>
        <w:jc w:val="left"/>
        <w:rPr>
          <w:rFonts w:hint="default" w:ascii="Times New Roman" w:hAnsi="Times New Roman" w:eastAsia="仿宋_GB2312"/>
          <w:color w:val="000000"/>
          <w:sz w:val="32"/>
        </w:rPr>
      </w:pPr>
    </w:p>
    <w:p w14:paraId="6A043640">
      <w:pPr>
        <w:spacing w:line="600" w:lineRule="exact"/>
        <w:jc w:val="left"/>
        <w:rPr>
          <w:rFonts w:hint="default" w:ascii="Times New Roman" w:hAnsi="Times New Roman" w:eastAsia="仿宋_GB2312"/>
          <w:color w:val="000000"/>
          <w:sz w:val="32"/>
        </w:rPr>
      </w:pPr>
    </w:p>
    <w:p w14:paraId="44F82058">
      <w:pPr>
        <w:spacing w:line="600" w:lineRule="exact"/>
        <w:jc w:val="left"/>
        <w:rPr>
          <w:rFonts w:hint="default" w:ascii="Times New Roman" w:hAnsi="Times New Roman" w:eastAsia="仿宋_GB2312"/>
          <w:color w:val="000000"/>
          <w:sz w:val="32"/>
        </w:rPr>
      </w:pPr>
    </w:p>
    <w:p w14:paraId="43168ECA">
      <w:pPr>
        <w:spacing w:line="600" w:lineRule="exact"/>
        <w:jc w:val="left"/>
        <w:rPr>
          <w:rFonts w:hint="default" w:ascii="Times New Roman" w:hAnsi="Times New Roman" w:eastAsia="仿宋_GB2312"/>
          <w:color w:val="000000"/>
          <w:sz w:val="32"/>
        </w:rPr>
      </w:pPr>
    </w:p>
    <w:p w14:paraId="746B128B">
      <w:pPr>
        <w:spacing w:line="600" w:lineRule="exact"/>
        <w:jc w:val="left"/>
        <w:rPr>
          <w:rFonts w:hint="default" w:ascii="Times New Roman" w:hAnsi="Times New Roman" w:eastAsia="仿宋_GB2312"/>
          <w:color w:val="000000"/>
          <w:sz w:val="32"/>
        </w:rPr>
      </w:pPr>
    </w:p>
    <w:p w14:paraId="3A665B71">
      <w:pPr>
        <w:spacing w:line="600" w:lineRule="exact"/>
        <w:jc w:val="left"/>
        <w:rPr>
          <w:rFonts w:hint="default" w:ascii="Times New Roman" w:hAnsi="Times New Roman" w:eastAsia="仿宋_GB2312"/>
          <w:color w:val="000000"/>
          <w:sz w:val="32"/>
        </w:rPr>
      </w:pPr>
    </w:p>
    <w:p w14:paraId="42B47D24">
      <w:pPr>
        <w:spacing w:line="600" w:lineRule="exact"/>
        <w:jc w:val="left"/>
        <w:rPr>
          <w:rFonts w:hint="default" w:ascii="Times New Roman" w:hAnsi="Times New Roman" w:eastAsia="仿宋_GB2312"/>
          <w:color w:val="000000"/>
          <w:sz w:val="32"/>
        </w:rPr>
      </w:pPr>
    </w:p>
    <w:p w14:paraId="2A829B63">
      <w:pPr>
        <w:spacing w:line="600" w:lineRule="exact"/>
        <w:jc w:val="left"/>
        <w:rPr>
          <w:rFonts w:hint="default" w:ascii="Times New Roman" w:hAnsi="Times New Roman" w:eastAsia="仿宋_GB2312"/>
          <w:color w:val="000000"/>
          <w:sz w:val="32"/>
        </w:rPr>
      </w:pPr>
    </w:p>
    <w:p w14:paraId="2D064665">
      <w:pPr>
        <w:spacing w:line="600" w:lineRule="exact"/>
        <w:jc w:val="left"/>
        <w:rPr>
          <w:rFonts w:hint="default" w:ascii="Times New Roman" w:hAnsi="Times New Roman" w:eastAsia="仿宋_GB2312"/>
          <w:color w:val="000000"/>
          <w:sz w:val="32"/>
        </w:rPr>
      </w:pPr>
    </w:p>
    <w:p w14:paraId="10F1F552">
      <w:pPr>
        <w:spacing w:line="600" w:lineRule="exact"/>
        <w:jc w:val="left"/>
        <w:rPr>
          <w:rFonts w:hint="default" w:ascii="Times New Roman" w:hAnsi="Times New Roman" w:eastAsia="仿宋_GB2312"/>
          <w:color w:val="000000"/>
          <w:sz w:val="32"/>
        </w:rPr>
      </w:pPr>
    </w:p>
    <w:p w14:paraId="332EA890">
      <w:pPr>
        <w:keepNext w:val="0"/>
        <w:keepLines w:val="0"/>
        <w:pageBreakBefore w:val="0"/>
        <w:widowControl w:val="0"/>
        <w:pBdr>
          <w:top w:val="single" w:color="auto" w:sz="4" w:space="1"/>
          <w:left w:val="none" w:color="auto" w:sz="0" w:space="4"/>
          <w:bottom w:val="single" w:color="auto" w:sz="4" w:space="1"/>
          <w:right w:val="none" w:color="auto" w:sz="0" w:space="4"/>
          <w:between w:val="single" w:color="auto" w:sz="4" w:space="0"/>
        </w:pBdr>
        <w:kinsoku/>
        <w:wordWrap/>
        <w:overflowPunct/>
        <w:topLinePunct w:val="0"/>
        <w:autoSpaceDE/>
        <w:autoSpaceDN/>
        <w:adjustRightInd/>
        <w:snapToGrid/>
        <w:spacing w:before="0" w:beforeLines="0" w:beforeAutospacing="0" w:after="0" w:afterLines="0" w:afterAutospacing="0" w:line="620" w:lineRule="exact"/>
        <w:ind w:left="0" w:leftChars="0" w:right="0" w:firstLine="0" w:firstLineChars="0"/>
        <w:jc w:val="both"/>
        <w:textAlignment w:val="auto"/>
        <w:outlineLvl w:val="9"/>
        <w:rPr>
          <w:rFonts w:hint="default" w:ascii="Times New Roman" w:hAnsi="Times New Roman"/>
        </w:rPr>
      </w:pPr>
      <w:r>
        <w:rPr>
          <w:rFonts w:hint="default" w:ascii="Times New Roman" w:hAnsi="Times New Roman" w:eastAsia="仿宋_GB2312"/>
          <w:color w:val="000000"/>
          <w:sz w:val="28"/>
          <w:lang w:eastAsia="zh-CN"/>
        </w:rPr>
        <w:t xml:space="preserve">　连城县住房和城乡建设局　　  　　　　    2026年4月29日印发  </w:t>
      </w:r>
    </w:p>
    <w:sectPr>
      <w:headerReference r:id="rId3" w:type="default"/>
      <w:footerReference r:id="rId4" w:type="default"/>
      <w:pgSz w:w="11906" w:h="16838"/>
      <w:pgMar w:top="1701" w:right="1531" w:bottom="1701" w:left="1531" w:header="851" w:footer="1303" w:gutter="0"/>
      <w:paperSrc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Bookshelf Symbol 7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B8A2EC">
    <w:pPr>
      <w:pStyle w:val="2"/>
      <w:framePr w:wrap="around" w:vAnchor="text" w:hAnchor="margin" w:xAlign="outside" w:yAlign="top"/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50" w:space="0"/>
      </w:pBdr>
      <w:snapToGrid w:val="0"/>
      <w:spacing w:after="0" w:afterLines="0" w:afterAutospacing="0"/>
      <w:jc w:val="left"/>
      <w:rPr>
        <w:rFonts w:hint="eastAsia" w:ascii="宋体" w:hAnsi="宋体" w:eastAsia="宋体"/>
        <w:sz w:val="28"/>
      </w:rPr>
    </w:pPr>
    <w:r>
      <w:rPr>
        <w:rFonts w:hint="eastAsia" w:ascii="宋体" w:hAnsi="宋体" w:eastAsia="宋体"/>
        <w:sz w:val="28"/>
      </w:rPr>
      <w:fldChar w:fldCharType="begin"/>
    </w:r>
    <w:r>
      <w:rPr>
        <w:rFonts w:hint="eastAsia" w:ascii="宋体" w:hAnsi="宋体" w:eastAsia="宋体"/>
        <w:sz w:val="28"/>
      </w:rPr>
      <w:instrText xml:space="preserve"> PAGE  </w:instrText>
    </w:r>
    <w:r>
      <w:rPr>
        <w:rFonts w:hint="eastAsia" w:ascii="宋体" w:hAnsi="宋体" w:eastAsia="宋体"/>
        <w:sz w:val="28"/>
      </w:rPr>
      <w:fldChar w:fldCharType="separate"/>
    </w:r>
    <w:r>
      <w:rPr>
        <w:rFonts w:hint="eastAsia" w:ascii="宋体" w:hAnsi="宋体" w:eastAsia="宋体"/>
        <w:sz w:val="28"/>
      </w:rPr>
      <w:fldChar w:fldCharType="end"/>
    </w:r>
  </w:p>
  <w:p w14:paraId="796FE8FD">
    <w:pPr>
      <w:pStyle w:val="2"/>
      <w:ind w:right="360" w:firstLine="360" w:firstLineChars="0"/>
      <w:rPr>
        <w:rFonts w:hint="eastAsia" w:ascii="宋体" w:hAnsi="宋体" w:eastAsia="宋体"/>
        <w:sz w:val="2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A64D95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0"/>
  <w:drawingGridVerticalSpacing w:val="156"/>
  <w:displayHorizontalDrawingGridEvery w:val="0"/>
  <w:displayVerticalDrawingGridEvery w:val="2"/>
  <w:doNotShadeFormData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61E0232F"/>
    <w:rsid w:val="6BB21A3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eastAsia="宋体"/>
      <w:kern w:val="2"/>
      <w:sz w:val="21"/>
      <w:lang w:val="en-US" w:eastAsia="zh-CN"/>
    </w:rPr>
  </w:style>
  <w:style w:type="character" w:default="1" w:styleId="5">
    <w:name w:val="Default Paragraph Font"/>
    <w:uiPriority w:val="0"/>
  </w:style>
  <w:style w:type="table" w:default="1" w:styleId="4">
    <w:name w:val="Normal Table"/>
    <w:semiHidden/>
    <w:qFormat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2595</Words>
  <Characters>2602</Characters>
  <Lines>0</Lines>
  <Paragraphs>0</Paragraphs>
  <TotalTime>0</TotalTime>
  <ScaleCrop>false</ScaleCrop>
  <LinksUpToDate>false</LinksUpToDate>
  <CharactersWithSpaces>2618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2026-04-30T09:38:19Z</dcterms:created>
  <dc:creator>Administrator</dc:creator>
  <cp:lastModifiedBy>Administrator</cp:lastModifiedBy>
  <dcterms:modified xsi:type="dcterms:W3CDTF">2026-04-30T03:47:17Z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eyJoZGlkIjoiZmY2OWNkZmFmZjQ3MDk3NzAzYjFmZmEzOTE2NTg3NTMifQ==</vt:lpwstr>
  </property>
  <property fmtid="{D5CDD505-2E9C-101B-9397-08002B2CF9AE}" pid="3" name="KSOProductBuildVer">
    <vt:lpwstr>2052-12.1.0.25865</vt:lpwstr>
  </property>
  <property fmtid="{D5CDD505-2E9C-101B-9397-08002B2CF9AE}" pid="4" name="ICV">
    <vt:lpwstr>FFDED584B698473EBFEC6E56BE73787C_13</vt:lpwstr>
  </property>
</Properties>
</file>