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35416">
      <w:pPr>
        <w:spacing w:line="560" w:lineRule="exact"/>
        <w:jc w:val="right"/>
        <w:rPr>
          <w:rFonts w:ascii="仿宋_GB2312" w:eastAsia="仿宋_GB2312" w:cs="Times New Roman"/>
          <w:color w:val="000000"/>
          <w:sz w:val="32"/>
          <w:szCs w:val="32"/>
        </w:rPr>
      </w:pPr>
    </w:p>
    <w:p w14:paraId="291887F7">
      <w:pPr>
        <w:keepNext w:val="0"/>
        <w:keepLines w:val="0"/>
        <w:pageBreakBefore w:val="0"/>
        <w:kinsoku/>
        <w:wordWrap/>
        <w:overflowPunct/>
        <w:topLinePunct w:val="0"/>
        <w:autoSpaceDE/>
        <w:autoSpaceDN/>
        <w:bidi w:val="0"/>
        <w:adjustRightInd/>
        <w:snapToGrid/>
        <w:spacing w:line="700" w:lineRule="exact"/>
        <w:jc w:val="right"/>
        <w:textAlignment w:val="auto"/>
        <w:rPr>
          <w:rFonts w:ascii="仿宋_GB2312" w:eastAsia="仿宋_GB2312" w:cs="Times New Roman"/>
          <w:color w:val="000000"/>
          <w:sz w:val="32"/>
          <w:szCs w:val="32"/>
        </w:rPr>
      </w:pPr>
    </w:p>
    <w:p w14:paraId="160F2EEB">
      <w:pPr>
        <w:pStyle w:val="2"/>
        <w:keepNext w:val="0"/>
        <w:keepLines w:val="0"/>
        <w:pageBreakBefore w:val="0"/>
        <w:widowControl/>
        <w:kinsoku/>
        <w:wordWrap/>
        <w:overflowPunct/>
        <w:topLinePunct w:val="0"/>
        <w:autoSpaceDE/>
        <w:autoSpaceDN/>
        <w:bidi w:val="0"/>
        <w:adjustRightInd/>
        <w:snapToGrid/>
        <w:spacing w:beforeAutospacing="0" w:afterAutospacing="0" w:line="680" w:lineRule="exact"/>
        <w:textAlignment w:val="auto"/>
        <w:rPr>
          <w:rFonts w:ascii="仿宋_GB2312" w:eastAsia="仿宋_GB2312" w:cs="Times New Roman"/>
          <w:color w:val="000000"/>
          <w:sz w:val="32"/>
          <w:szCs w:val="32"/>
        </w:rPr>
      </w:pPr>
    </w:p>
    <w:p w14:paraId="2B9D7A24">
      <w:pPr>
        <w:keepNext w:val="0"/>
        <w:keepLines w:val="0"/>
        <w:pageBreakBefore w:val="0"/>
        <w:widowControl w:val="0"/>
        <w:kinsoku/>
        <w:wordWrap/>
        <w:overflowPunct/>
        <w:topLinePunct w:val="0"/>
        <w:autoSpaceDE/>
        <w:autoSpaceDN/>
        <w:bidi w:val="0"/>
        <w:adjustRightInd/>
        <w:snapToGrid/>
        <w:spacing w:beforeAutospacing="0" w:afterAutospacing="0" w:line="680" w:lineRule="exact"/>
        <w:textAlignment w:val="auto"/>
        <w:rPr>
          <w:rFonts w:cs="Times New Roman"/>
        </w:rPr>
      </w:pPr>
    </w:p>
    <w:p w14:paraId="16EFC0CB">
      <w:pPr>
        <w:pStyle w:val="2"/>
        <w:keepNext w:val="0"/>
        <w:keepLines w:val="0"/>
        <w:pageBreakBefore w:val="0"/>
        <w:kinsoku/>
        <w:wordWrap/>
        <w:overflowPunct/>
        <w:topLinePunct w:val="0"/>
        <w:autoSpaceDE/>
        <w:autoSpaceDN/>
        <w:bidi w:val="0"/>
        <w:adjustRightInd/>
        <w:snapToGrid/>
        <w:spacing w:beforeAutospacing="0" w:afterAutospacing="0" w:line="700" w:lineRule="exact"/>
        <w:textAlignment w:val="auto"/>
      </w:pPr>
    </w:p>
    <w:p w14:paraId="0FC000ED">
      <w:pPr>
        <w:keepNext w:val="0"/>
        <w:keepLines w:val="0"/>
        <w:pageBreakBefore w:val="0"/>
        <w:kinsoku/>
        <w:wordWrap/>
        <w:overflowPunct/>
        <w:topLinePunct w:val="0"/>
        <w:autoSpaceDE/>
        <w:autoSpaceDN/>
        <w:bidi w:val="0"/>
        <w:adjustRightInd/>
        <w:snapToGrid/>
        <w:spacing w:beforeAutospacing="0" w:afterAutospacing="0" w:line="520" w:lineRule="exact"/>
        <w:jc w:val="center"/>
        <w:textAlignment w:val="auto"/>
        <w:rPr>
          <w:rFonts w:ascii="仿宋" w:hAnsi="仿宋" w:eastAsia="仿宋" w:cs="Times New Roman"/>
          <w:color w:val="000000"/>
          <w:sz w:val="32"/>
          <w:szCs w:val="32"/>
        </w:rPr>
      </w:pPr>
      <w:r>
        <w:rPr>
          <w:rFonts w:hint="eastAsia" w:ascii="仿宋" w:hAnsi="仿宋" w:eastAsia="仿宋" w:cs="仿宋"/>
          <w:color w:val="000000"/>
          <w:sz w:val="32"/>
          <w:szCs w:val="32"/>
        </w:rPr>
        <w:t>连城管〔</w:t>
      </w:r>
      <w:r>
        <w:rPr>
          <w:rFonts w:ascii="仿宋" w:hAnsi="仿宋" w:eastAsia="仿宋" w:cs="仿宋"/>
          <w:color w:val="000000"/>
          <w:sz w:val="32"/>
          <w:szCs w:val="32"/>
        </w:rPr>
        <w:t>202</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31</w:t>
      </w:r>
      <w:r>
        <w:rPr>
          <w:rFonts w:hint="eastAsia" w:ascii="仿宋" w:hAnsi="仿宋" w:eastAsia="仿宋" w:cs="仿宋"/>
          <w:color w:val="000000"/>
          <w:sz w:val="32"/>
          <w:szCs w:val="32"/>
        </w:rPr>
        <w:t>号</w:t>
      </w:r>
    </w:p>
    <w:p w14:paraId="1B004B32">
      <w:pPr>
        <w:keepNext w:val="0"/>
        <w:keepLines w:val="0"/>
        <w:pageBreakBefore w:val="0"/>
        <w:kinsoku/>
        <w:wordWrap/>
        <w:overflowPunct/>
        <w:topLinePunct w:val="0"/>
        <w:autoSpaceDE/>
        <w:autoSpaceDN/>
        <w:bidi w:val="0"/>
        <w:adjustRightInd/>
        <w:snapToGrid/>
        <w:spacing w:beforeAutospacing="0" w:afterAutospacing="0" w:line="520" w:lineRule="exact"/>
        <w:textAlignment w:val="auto"/>
        <w:rPr>
          <w:rFonts w:ascii="仿宋_GB2312" w:eastAsia="仿宋_GB2312" w:cs="Times New Roman"/>
          <w:color w:val="000000"/>
          <w:sz w:val="32"/>
          <w:szCs w:val="32"/>
        </w:rPr>
      </w:pPr>
    </w:p>
    <w:p w14:paraId="50E3DFF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连城县城市管理局关于印发《连城县城市管理局“静夜守护”行动工作方案》的通知</w:t>
      </w:r>
    </w:p>
    <w:p w14:paraId="5ADEC43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sz w:val="44"/>
          <w:szCs w:val="44"/>
          <w:lang w:val="en-US" w:eastAsia="zh-CN"/>
        </w:rPr>
      </w:pPr>
    </w:p>
    <w:p w14:paraId="517F33D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各大（中）队、股室、中心、站：</w:t>
      </w:r>
    </w:p>
    <w:p w14:paraId="378ADA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现将《连城县城市管理局“静夜守护”行动工作方案》印发给你们，请结合工作实际，抓好贯彻落实。</w:t>
      </w:r>
    </w:p>
    <w:p w14:paraId="7D243B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14:paraId="1D4A81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sz w:val="32"/>
          <w:szCs w:val="32"/>
          <w:lang w:val="en-US" w:eastAsia="zh-CN"/>
        </w:rPr>
      </w:pPr>
    </w:p>
    <w:p w14:paraId="1057E1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 xml:space="preserve">                    连城县城市管理局</w:t>
      </w:r>
    </w:p>
    <w:p w14:paraId="0405BD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 xml:space="preserve">                     2022年6月15日</w:t>
      </w:r>
    </w:p>
    <w:p w14:paraId="1E301EE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15FCCBC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14:paraId="4347EE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14:paraId="353D3C2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sz w:val="44"/>
          <w:szCs w:val="44"/>
          <w:lang w:val="en-US" w:eastAsia="zh-CN"/>
        </w:rPr>
      </w:pPr>
    </w:p>
    <w:p w14:paraId="17BABD4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连城县城市管理局“静夜守护”行动</w:t>
      </w:r>
    </w:p>
    <w:p w14:paraId="5261E91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工作方案</w:t>
      </w:r>
    </w:p>
    <w:p w14:paraId="0F71FA88">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 w:hAnsi="仿宋" w:eastAsia="仿宋" w:cs="仿宋"/>
          <w:b/>
          <w:sz w:val="44"/>
          <w:szCs w:val="44"/>
          <w:lang w:val="en-US" w:eastAsia="zh-CN"/>
        </w:rPr>
      </w:pPr>
    </w:p>
    <w:p w14:paraId="0F1C9C1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为深入践行习近平生态文明思想，持续解决群众反映突出的城市夜间噪音污染问题，进一步改善百姓夜间生活品质，</w:t>
      </w:r>
      <w:r>
        <w:rPr>
          <w:rFonts w:hint="eastAsia" w:ascii="仿宋" w:hAnsi="仿宋" w:eastAsia="仿宋" w:cs="仿宋"/>
          <w:sz w:val="32"/>
          <w:szCs w:val="32"/>
          <w:lang w:val="en-US" w:eastAsia="zh-CN"/>
        </w:rPr>
        <w:t>依照《龙岩市城市管理局关于印发全市城市管理系统“静夜守护”行动工作方案的通知》（龙环〔2022〕132号）和</w:t>
      </w:r>
      <w:r>
        <w:rPr>
          <w:rFonts w:hint="eastAsia" w:ascii="仿宋" w:hAnsi="仿宋" w:eastAsia="仿宋" w:cs="仿宋"/>
          <w:b w:val="0"/>
          <w:bCs/>
          <w:sz w:val="32"/>
          <w:szCs w:val="32"/>
          <w:lang w:val="en-US" w:eastAsia="zh-CN"/>
        </w:rPr>
        <w:t>省、市纪委监委巩固提升“点题整治”工作要求，结合贯彻执行新修订的《中华人民共和国噪声污染防治法》以及城市管理工作实际，制定本方案。</w:t>
      </w:r>
    </w:p>
    <w:p w14:paraId="115A61E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一、工作目标</w:t>
      </w:r>
    </w:p>
    <w:p w14:paraId="065CF9F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进一步建立健全噪声污染防治工作协调联动机制，强化噪声污染防治监督管理职责落实，推动噪声污染由阶段专项整治向常态化规范监管转变，提升监管能力，加大查处力度，切实解决噪声扰民突出问题，确保涉噪信访投诉按期办结率100％，维护社会安定和谐，营造良好的城市夜间声环境，推进经济社会和生态文明协调发展,为全方位推动高质量发展超越,加快建设现代化城市,打造有温度的幸福连城提供坚实的生态保障。</w:t>
      </w:r>
    </w:p>
    <w:p w14:paraId="07C26CE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b w:val="0"/>
          <w:bCs w:val="0"/>
          <w:sz w:val="24"/>
          <w:szCs w:val="24"/>
          <w:lang w:val="en-US" w:eastAsia="zh-CN"/>
        </w:rPr>
      </w:pPr>
      <w:r>
        <w:rPr>
          <w:rFonts w:hint="eastAsia" w:ascii="黑体" w:hAnsi="黑体" w:eastAsia="黑体" w:cs="黑体"/>
          <w:sz w:val="32"/>
          <w:szCs w:val="32"/>
          <w:lang w:val="en-US" w:eastAsia="zh-CN"/>
        </w:rPr>
        <w:t>二、组织领导</w:t>
      </w:r>
    </w:p>
    <w:p w14:paraId="422BEFC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为确保整治工作顺利开展,特成立“静夜守护”城市夜间噪声污染专项整治工作小组。工作小组负责集中整治行动的组织协调和信息交流等相关工作。</w:t>
      </w:r>
    </w:p>
    <w:p w14:paraId="7FF6AFB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组  长：沈在东     </w:t>
      </w:r>
    </w:p>
    <w:p w14:paraId="0CFD2EA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副组长：罗来鑫 黄权忠 吴家庆</w:t>
      </w:r>
    </w:p>
    <w:p w14:paraId="79D084D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成  员：陈世平 罗家淇 詹声兴 江坤生 黄启双 罗震钟</w:t>
      </w:r>
    </w:p>
    <w:p w14:paraId="7B506822">
      <w:pPr>
        <w:keepNext w:val="0"/>
        <w:keepLines w:val="0"/>
        <w:pageBreakBefore w:val="0"/>
        <w:widowControl w:val="0"/>
        <w:kinsoku/>
        <w:wordWrap/>
        <w:overflowPunct/>
        <w:topLinePunct w:val="0"/>
        <w:autoSpaceDE/>
        <w:autoSpaceDN/>
        <w:bidi w:val="0"/>
        <w:adjustRightInd/>
        <w:snapToGrid/>
        <w:spacing w:line="540" w:lineRule="exact"/>
        <w:ind w:firstLine="1920" w:firstLineChars="6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池伟铭 揭  飞 李治福 胡建明 林兴霖</w:t>
      </w:r>
    </w:p>
    <w:p w14:paraId="513FA8E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三、工作内容</w:t>
      </w:r>
    </w:p>
    <w:p w14:paraId="26381D0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2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专项整治行动坚持“源头管控、分类施策、综合治理、严格执法”原则,重点整治城区范围内的建筑施工、社会生活等夜间噪声扰民问题。</w:t>
      </w:r>
    </w:p>
    <w:p w14:paraId="59C8E93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楷体" w:hAnsi="楷体" w:eastAsia="楷体" w:cs="楷体"/>
          <w:b w:val="0"/>
          <w:bCs w:val="0"/>
          <w:sz w:val="24"/>
          <w:szCs w:val="24"/>
          <w:lang w:val="en-US" w:eastAsia="zh-CN"/>
        </w:rPr>
      </w:pPr>
      <w:r>
        <w:rPr>
          <w:rFonts w:hint="eastAsia" w:ascii="楷体" w:hAnsi="楷体" w:eastAsia="楷体" w:cs="楷体"/>
          <w:b/>
          <w:bCs/>
          <w:sz w:val="32"/>
          <w:szCs w:val="32"/>
          <w:lang w:val="en-US" w:eastAsia="zh-CN"/>
        </w:rPr>
        <w:t>（一）加强城区夜间社会生活噪声监管</w:t>
      </w:r>
    </w:p>
    <w:p w14:paraId="6052FE5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1.整治</w:t>
      </w:r>
      <w:r>
        <w:rPr>
          <w:rFonts w:hint="default" w:ascii="仿宋" w:hAnsi="仿宋" w:eastAsia="仿宋" w:cs="仿宋"/>
          <w:b/>
          <w:bCs/>
          <w:sz w:val="32"/>
          <w:szCs w:val="32"/>
          <w:lang w:val="en-US" w:eastAsia="zh-CN"/>
        </w:rPr>
        <w:t>商业经营噪声。</w:t>
      </w:r>
      <w:r>
        <w:rPr>
          <w:rFonts w:hint="eastAsia" w:ascii="仿宋" w:hAnsi="仿宋" w:eastAsia="仿宋" w:cs="仿宋"/>
          <w:b w:val="0"/>
          <w:bCs w:val="0"/>
          <w:sz w:val="32"/>
          <w:szCs w:val="32"/>
          <w:lang w:val="en-US" w:eastAsia="zh-CN"/>
        </w:rPr>
        <w:t>对城区露天大排档、烧烤摊等餐饮场所夜间占道经营引起噪声扰民的行为，对其出店经营或占道经营行为及时予以制止并责令整改，对屡教不改的经营者依法进行查处。</w:t>
      </w:r>
    </w:p>
    <w:p w14:paraId="1EB8BD8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责任部门：市容各中队</w:t>
      </w:r>
    </w:p>
    <w:p w14:paraId="74F3613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2.整治居民生活噪声。</w:t>
      </w:r>
      <w:r>
        <w:rPr>
          <w:rFonts w:hint="eastAsia" w:ascii="仿宋" w:hAnsi="仿宋" w:eastAsia="仿宋" w:cs="仿宋"/>
          <w:b w:val="0"/>
          <w:bCs w:val="0"/>
          <w:sz w:val="32"/>
          <w:szCs w:val="32"/>
          <w:lang w:val="en-US" w:eastAsia="zh-CN"/>
        </w:rPr>
        <w:t>督促物业服务企业参与居民生活区环境管理，</w:t>
      </w:r>
      <w:r>
        <w:rPr>
          <w:rFonts w:hint="eastAsia" w:ascii="仿宋" w:hAnsi="仿宋" w:eastAsia="仿宋" w:cs="仿宋"/>
          <w:sz w:val="32"/>
          <w:szCs w:val="32"/>
          <w:lang w:val="en-US" w:eastAsia="zh-CN"/>
        </w:rPr>
        <w:t>物业服务企业对管理区域内的业主或物业使用人在家庭室内夜间使用电器、乐器,或者进行娱乐健身、饲养动物、装修等严重干扰居民生活噪声的行为应予以劝阻、调解。经劝阻、调解无效的,及时告知业主委员会或者街道、社区相关管理人员,并根据管理规约采取临时管理措施,对经劝导无效的有关违法行为,及时报送公安部门，并做好登记。</w:t>
      </w:r>
    </w:p>
    <w:p w14:paraId="0BD9530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责任部门：物业服务中心</w:t>
      </w:r>
    </w:p>
    <w:p w14:paraId="212C158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楷体" w:hAnsi="楷体" w:eastAsia="楷体" w:cs="楷体"/>
          <w:b w:val="0"/>
          <w:bCs w:val="0"/>
          <w:sz w:val="24"/>
          <w:szCs w:val="24"/>
          <w:lang w:val="en-US" w:eastAsia="zh-CN"/>
        </w:rPr>
      </w:pPr>
      <w:r>
        <w:rPr>
          <w:rFonts w:hint="eastAsia" w:ascii="楷体" w:hAnsi="楷体" w:eastAsia="楷体" w:cs="楷体"/>
          <w:b/>
          <w:bCs/>
          <w:sz w:val="32"/>
          <w:szCs w:val="32"/>
          <w:lang w:val="en-US" w:eastAsia="zh-CN"/>
        </w:rPr>
        <w:t>（二）加强城区夜间建筑施工噪声监管</w:t>
      </w:r>
    </w:p>
    <w:p w14:paraId="56BDB9D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1.强化日常管理。</w:t>
      </w:r>
      <w:r>
        <w:rPr>
          <w:rFonts w:hint="eastAsia" w:ascii="仿宋" w:hAnsi="仿宋" w:eastAsia="仿宋" w:cs="仿宋"/>
          <w:b w:val="0"/>
          <w:bCs w:val="0"/>
          <w:sz w:val="32"/>
          <w:szCs w:val="32"/>
          <w:lang w:val="en-US" w:eastAsia="zh-CN"/>
        </w:rPr>
        <w:t>通过随机抽查、暗访督查等方式，对建筑工作夜间作业开展检查，重点检查辖区</w:t>
      </w:r>
      <w:r>
        <w:rPr>
          <w:rFonts w:hint="eastAsia" w:ascii="仿宋" w:hAnsi="仿宋" w:eastAsia="仿宋" w:cs="仿宋"/>
          <w:sz w:val="32"/>
          <w:szCs w:val="32"/>
          <w:lang w:val="en-US" w:eastAsia="zh-CN"/>
        </w:rPr>
        <w:t>群众反复投诉的在建工地,多方面督促施工单位合理安排施工计划,避免夜间施工噪声扰民；督</w:t>
      </w:r>
      <w:r>
        <w:rPr>
          <w:rFonts w:hint="eastAsia" w:ascii="仿宋" w:hAnsi="仿宋" w:eastAsia="仿宋" w:cs="仿宋"/>
          <w:color w:val="auto"/>
          <w:sz w:val="32"/>
          <w:szCs w:val="32"/>
          <w:lang w:val="en-US" w:eastAsia="zh-CN"/>
        </w:rPr>
        <w:t>促试点施工</w:t>
      </w:r>
      <w:r>
        <w:rPr>
          <w:rFonts w:hint="eastAsia" w:ascii="仿宋" w:hAnsi="仿宋" w:eastAsia="仿宋" w:cs="仿宋"/>
          <w:sz w:val="32"/>
          <w:szCs w:val="32"/>
          <w:lang w:val="en-US" w:eastAsia="zh-CN"/>
        </w:rPr>
        <w:t>单位因地制宜安装噪声自动监测设备。</w:t>
      </w:r>
    </w:p>
    <w:p w14:paraId="7F47833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责任部门：扬尘治理中队</w:t>
      </w:r>
    </w:p>
    <w:p w14:paraId="4B988D7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bCs/>
          <w:sz w:val="32"/>
          <w:szCs w:val="32"/>
          <w:lang w:val="en-US" w:eastAsia="zh-CN"/>
        </w:rPr>
        <w:t>2.依法查处通报。</w:t>
      </w:r>
      <w:r>
        <w:rPr>
          <w:rFonts w:hint="eastAsia" w:ascii="仿宋" w:hAnsi="仿宋" w:eastAsia="仿宋" w:cs="仿宋"/>
          <w:b w:val="0"/>
          <w:bCs w:val="0"/>
          <w:sz w:val="32"/>
          <w:szCs w:val="32"/>
          <w:lang w:val="en-US" w:eastAsia="zh-CN"/>
        </w:rPr>
        <w:t>扬尘治理中队</w:t>
      </w:r>
      <w:r>
        <w:rPr>
          <w:rFonts w:hint="eastAsia" w:ascii="仿宋" w:hAnsi="仿宋" w:eastAsia="仿宋" w:cs="仿宋"/>
          <w:sz w:val="32"/>
          <w:szCs w:val="32"/>
          <w:lang w:val="en-US" w:eastAsia="zh-CN"/>
        </w:rPr>
        <w:t>对城区在建工地开展巡查监管,依法查处未经审批的超时施工违法行为,并</w:t>
      </w:r>
      <w:r>
        <w:rPr>
          <w:rFonts w:hint="eastAsia" w:ascii="仿宋_GB2312" w:hAnsi="仿宋_GB2312" w:eastAsia="仿宋_GB2312" w:cs="仿宋_GB2312"/>
          <w:sz w:val="32"/>
          <w:szCs w:val="32"/>
          <w:lang w:val="en-US" w:eastAsia="zh-CN"/>
        </w:rPr>
        <w:t>将查处情况抄送县住建局对违法施工单位按相关规定予以信用扣分处理。与生态环境局、住建局建立连续施工审批、施工噪声投诉、违法查处情况等信息共享机制。</w:t>
      </w:r>
    </w:p>
    <w:p w14:paraId="49B7289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sz w:val="32"/>
          <w:szCs w:val="32"/>
          <w:lang w:val="en-US" w:eastAsia="zh-CN"/>
        </w:rPr>
        <w:t>责任部门：扬尘治理中队</w:t>
      </w:r>
    </w:p>
    <w:p w14:paraId="53B960F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四、工作安排</w:t>
      </w:r>
    </w:p>
    <w:p w14:paraId="7540CBD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(一)动员部署阶段（6月20日前）。</w:t>
      </w:r>
      <w:r>
        <w:rPr>
          <w:rFonts w:hint="eastAsia" w:ascii="仿宋" w:hAnsi="仿宋" w:eastAsia="仿宋" w:cs="仿宋"/>
          <w:sz w:val="32"/>
          <w:szCs w:val="32"/>
          <w:lang w:val="en-US" w:eastAsia="zh-CN"/>
        </w:rPr>
        <w:t>各相关部门围绕城区范围内建筑施工、商业活动、餐饮和文化娱乐、居民生活等领域的噪声扰民问题进行专题动员部署，并结合实际情况制定专项行动实施方案，依托“12345政务服务便民热线”按职责分工、归口受理群众信访举报,确保及时受理与快速办理紧密衔接。</w:t>
      </w:r>
    </w:p>
    <w:p w14:paraId="65222C4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仿宋" w:hAnsi="仿宋" w:eastAsia="仿宋" w:cs="仿宋"/>
          <w:sz w:val="32"/>
          <w:szCs w:val="32"/>
          <w:lang w:val="en-US" w:eastAsia="zh-CN"/>
        </w:rPr>
      </w:pPr>
      <w:r>
        <w:rPr>
          <w:rFonts w:hint="eastAsia" w:ascii="楷体" w:hAnsi="楷体" w:eastAsia="楷体" w:cs="楷体"/>
          <w:b/>
          <w:bCs/>
          <w:sz w:val="32"/>
          <w:szCs w:val="32"/>
          <w:lang w:val="en-US" w:eastAsia="zh-CN"/>
        </w:rPr>
        <w:t>(二)集中整治阶段(6月20日-9月30日)。</w:t>
      </w:r>
      <w:r>
        <w:rPr>
          <w:rFonts w:hint="eastAsia" w:ascii="仿宋" w:hAnsi="仿宋" w:eastAsia="仿宋" w:cs="仿宋"/>
          <w:sz w:val="32"/>
          <w:szCs w:val="32"/>
          <w:lang w:val="en-US" w:eastAsia="zh-CN"/>
        </w:rPr>
        <w:t>各部门应结合2021年以来信访投诉及整治工作情况，对城区夜间噪声易发多发点位进行检查，对存在问题督促整改，对整改不力的依法依规查处。各部门结合工作职责，每月22日前报送工作进展情况每月调度表（附件1）、问题（线索）信息（附件2）、物业服务企业报告生活噪音情况登记表（附件3）及优秀典型案例汇总至局市容大队。</w:t>
      </w:r>
    </w:p>
    <w:p w14:paraId="653B083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(三)巩固提升总结阶段(10月1日-10月31日)。</w:t>
      </w:r>
      <w:r>
        <w:rPr>
          <w:rFonts w:hint="eastAsia" w:ascii="仿宋" w:hAnsi="仿宋" w:eastAsia="仿宋" w:cs="仿宋"/>
          <w:sz w:val="32"/>
          <w:szCs w:val="32"/>
          <w:lang w:val="en-US" w:eastAsia="zh-CN"/>
        </w:rPr>
        <w:t>各部门对专项行动工作成效、经验做法及存在问题进行总结,逐步完善噪声污染防治联合监管长效工作机制,巩固提升整治成果,防止噪声污染问题反弹。各部门将工作成效形成专项行动情况总结，于10月1日前汇总至局市容大队。</w:t>
      </w:r>
    </w:p>
    <w:p w14:paraId="7B46C4F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五、工作要求</w:t>
      </w:r>
    </w:p>
    <w:p w14:paraId="3660B95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(一)落实职责分工</w:t>
      </w:r>
      <w:r>
        <w:rPr>
          <w:rFonts w:hint="eastAsia" w:ascii="楷体" w:hAnsi="楷体" w:eastAsia="楷体" w:cs="楷体"/>
          <w:sz w:val="32"/>
          <w:szCs w:val="32"/>
          <w:lang w:val="en-US" w:eastAsia="zh-CN"/>
        </w:rPr>
        <w:t>。</w:t>
      </w:r>
      <w:r>
        <w:rPr>
          <w:rFonts w:hint="eastAsia" w:ascii="仿宋" w:hAnsi="仿宋" w:eastAsia="仿宋" w:cs="仿宋"/>
          <w:sz w:val="32"/>
          <w:szCs w:val="32"/>
          <w:lang w:val="en-US" w:eastAsia="zh-CN"/>
        </w:rPr>
        <w:t>各部门在各自职责范围内对噪声污染防治实施监督管理。各部门要压实责任,对本辖区职责进一步分解落实任务,制定任务清单。</w:t>
      </w:r>
    </w:p>
    <w:p w14:paraId="6F9C693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(二)严厉打击违法</w:t>
      </w:r>
      <w:r>
        <w:rPr>
          <w:rFonts w:hint="eastAsia" w:ascii="楷体" w:hAnsi="楷体" w:eastAsia="楷体" w:cs="楷体"/>
          <w:sz w:val="32"/>
          <w:szCs w:val="32"/>
          <w:lang w:val="en-US" w:eastAsia="zh-CN"/>
        </w:rPr>
        <w:t>。</w:t>
      </w:r>
      <w:r>
        <w:rPr>
          <w:rFonts w:hint="eastAsia" w:ascii="仿宋" w:hAnsi="仿宋" w:eastAsia="仿宋" w:cs="仿宋"/>
          <w:sz w:val="32"/>
          <w:szCs w:val="32"/>
          <w:lang w:val="en-US" w:eastAsia="zh-CN"/>
        </w:rPr>
        <w:t>各部门要加强噪声防治巡查频次,加大处置力度,特别加大夜间等重点时段重点区域的监督管理,充分运用执法手段,严厉打击噪声扰民行为,确保专项行动取得实效。</w:t>
      </w:r>
    </w:p>
    <w:p w14:paraId="634EE4D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(三)强化部门协作。</w:t>
      </w:r>
      <w:r>
        <w:rPr>
          <w:rFonts w:hint="eastAsia" w:ascii="仿宋" w:hAnsi="仿宋" w:eastAsia="仿宋" w:cs="仿宋"/>
          <w:sz w:val="32"/>
          <w:szCs w:val="32"/>
          <w:lang w:val="en-US" w:eastAsia="zh-CN"/>
        </w:rPr>
        <w:t>各部门要加强沟通协作,根据部门职责受理群众对身边噪声污染问题信访举报,完善部门之间联勤联动、信息共享、问题移交等工作机制,坚持集中攻坚与常态整治相结合,落实城市夜间噪声污染综合治理和长效管控。</w:t>
      </w:r>
    </w:p>
    <w:p w14:paraId="4CEAB77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(四)加大宣传引导。</w:t>
      </w:r>
      <w:r>
        <w:rPr>
          <w:rFonts w:hint="eastAsia" w:ascii="仿宋" w:hAnsi="仿宋" w:eastAsia="仿宋" w:cs="仿宋"/>
          <w:sz w:val="32"/>
          <w:szCs w:val="32"/>
          <w:lang w:val="en-US" w:eastAsia="zh-CN"/>
        </w:rPr>
        <w:t>广泛宣传环境噪声污染防治</w:t>
      </w:r>
      <w:bookmarkStart w:id="0" w:name="_GoBack"/>
      <w:bookmarkEnd w:id="0"/>
      <w:r>
        <w:rPr>
          <w:rFonts w:hint="eastAsia" w:ascii="仿宋" w:hAnsi="仿宋" w:eastAsia="仿宋" w:cs="仿宋"/>
          <w:sz w:val="32"/>
          <w:szCs w:val="32"/>
          <w:lang w:val="en-US" w:eastAsia="zh-CN"/>
        </w:rPr>
        <w:t>的法律法规和政策标准,提高公众环保意识,加强社会监督,畅通群众监督举报渠道。进一步发挥新闻媒体的舆论引导和监督作用,加大对典型噪声污染违法行为的曝光力度,宣传环境噪声污染整治取得的成效,营造全民参与的良好氛围。</w:t>
      </w:r>
    </w:p>
    <w:p w14:paraId="5C9A4345">
      <w:pPr>
        <w:pStyle w:val="2"/>
        <w:rPr>
          <w:rFonts w:hint="eastAsia" w:ascii="仿宋" w:hAnsi="仿宋" w:eastAsia="仿宋" w:cs="仿宋"/>
          <w:sz w:val="32"/>
          <w:szCs w:val="32"/>
          <w:lang w:val="en-US" w:eastAsia="zh-CN"/>
        </w:rPr>
      </w:pPr>
    </w:p>
    <w:p w14:paraId="37177513">
      <w:pPr>
        <w:rPr>
          <w:rFonts w:hint="eastAsia" w:ascii="仿宋" w:hAnsi="仿宋" w:eastAsia="仿宋" w:cs="仿宋"/>
          <w:sz w:val="32"/>
          <w:szCs w:val="32"/>
          <w:lang w:val="en-US" w:eastAsia="zh-CN"/>
        </w:rPr>
      </w:pPr>
    </w:p>
    <w:p w14:paraId="69DDA8FE">
      <w:pPr>
        <w:pStyle w:val="2"/>
        <w:rPr>
          <w:rFonts w:hint="eastAsia" w:ascii="仿宋" w:hAnsi="仿宋" w:eastAsia="仿宋" w:cs="仿宋"/>
          <w:sz w:val="32"/>
          <w:szCs w:val="32"/>
          <w:lang w:val="en-US" w:eastAsia="zh-CN"/>
        </w:rPr>
      </w:pPr>
    </w:p>
    <w:p w14:paraId="0C18A08A">
      <w:pPr>
        <w:rPr>
          <w:rFonts w:hint="eastAsia" w:ascii="仿宋" w:hAnsi="仿宋" w:eastAsia="仿宋" w:cs="仿宋"/>
          <w:sz w:val="32"/>
          <w:szCs w:val="32"/>
          <w:lang w:val="en-US" w:eastAsia="zh-CN"/>
        </w:rPr>
      </w:pPr>
    </w:p>
    <w:p w14:paraId="58AFA1BE">
      <w:pPr>
        <w:pStyle w:val="2"/>
        <w:rPr>
          <w:rFonts w:hint="eastAsia" w:ascii="仿宋" w:hAnsi="仿宋" w:eastAsia="仿宋" w:cs="仿宋"/>
          <w:sz w:val="32"/>
          <w:szCs w:val="32"/>
          <w:lang w:val="en-US" w:eastAsia="zh-CN"/>
        </w:rPr>
      </w:pPr>
    </w:p>
    <w:p w14:paraId="26629F46">
      <w:pPr>
        <w:rPr>
          <w:rFonts w:hint="eastAsia" w:ascii="仿宋" w:hAnsi="仿宋" w:eastAsia="仿宋" w:cs="仿宋"/>
          <w:sz w:val="32"/>
          <w:szCs w:val="32"/>
          <w:lang w:val="en-US" w:eastAsia="zh-CN"/>
        </w:rPr>
      </w:pPr>
    </w:p>
    <w:p w14:paraId="25F241B8">
      <w:pPr>
        <w:pStyle w:val="2"/>
        <w:rPr>
          <w:rFonts w:hint="eastAsia" w:ascii="仿宋" w:hAnsi="仿宋" w:eastAsia="仿宋" w:cs="仿宋"/>
          <w:sz w:val="32"/>
          <w:szCs w:val="32"/>
          <w:lang w:val="en-US" w:eastAsia="zh-CN"/>
        </w:rPr>
      </w:pPr>
    </w:p>
    <w:p w14:paraId="2C27B404">
      <w:pPr>
        <w:rPr>
          <w:rFonts w:hint="eastAsia" w:ascii="仿宋" w:hAnsi="仿宋" w:eastAsia="仿宋" w:cs="仿宋"/>
          <w:sz w:val="32"/>
          <w:szCs w:val="32"/>
          <w:lang w:val="en-US" w:eastAsia="zh-CN"/>
        </w:rPr>
      </w:pPr>
    </w:p>
    <w:p w14:paraId="71BC67AB">
      <w:pPr>
        <w:pStyle w:val="2"/>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sz w:val="32"/>
          <w:szCs w:val="32"/>
          <w:lang w:val="en-US" w:eastAsia="zh-CN"/>
        </w:rPr>
      </w:pPr>
    </w:p>
    <w:p w14:paraId="107E8B3B">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lang w:val="en-US" w:eastAsia="zh-CN"/>
        </w:rPr>
      </w:pPr>
    </w:p>
    <w:p w14:paraId="08D9E6A1">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lang w:val="en-US" w:eastAsia="zh-CN"/>
        </w:rPr>
      </w:pPr>
    </w:p>
    <w:p w14:paraId="6037CD9C">
      <w:pPr>
        <w:pStyle w:val="2"/>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lang w:val="en-US" w:eastAsia="zh-CN"/>
        </w:rPr>
      </w:pPr>
    </w:p>
    <w:p w14:paraId="1850175E">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lang w:val="en-US" w:eastAsia="zh-CN"/>
        </w:rPr>
      </w:pPr>
    </w:p>
    <w:p w14:paraId="3BF98CE9">
      <w:pPr>
        <w:pStyle w:val="2"/>
        <w:keepNext w:val="0"/>
        <w:keepLines w:val="0"/>
        <w:pageBreakBefore w:val="0"/>
        <w:widowControl/>
        <w:kinsoku/>
        <w:wordWrap/>
        <w:overflowPunct/>
        <w:topLinePunct w:val="0"/>
        <w:autoSpaceDE/>
        <w:autoSpaceDN/>
        <w:bidi w:val="0"/>
        <w:adjustRightInd/>
        <w:snapToGrid/>
        <w:spacing w:line="720" w:lineRule="exact"/>
        <w:textAlignment w:val="auto"/>
        <w:rPr>
          <w:rFonts w:hint="default"/>
          <w:lang w:val="en-US" w:eastAsia="zh-CN"/>
        </w:rPr>
      </w:pPr>
    </w:p>
    <w:p w14:paraId="5D48DA78">
      <w:pPr>
        <w:pStyle w:val="2"/>
        <w:keepNext w:val="0"/>
        <w:keepLines w:val="0"/>
        <w:pageBreakBefore w:val="0"/>
        <w:widowControl/>
        <w:kinsoku/>
        <w:wordWrap/>
        <w:overflowPunct/>
        <w:topLinePunct w:val="0"/>
        <w:autoSpaceDE/>
        <w:autoSpaceDN/>
        <w:bidi w:val="0"/>
        <w:adjustRightInd/>
        <w:snapToGrid/>
        <w:spacing w:line="720" w:lineRule="exact"/>
        <w:textAlignment w:val="auto"/>
        <w:rPr>
          <w:rFonts w:hint="default"/>
          <w:b w:val="0"/>
          <w:bCs w:val="0"/>
          <w:lang w:val="en-US" w:eastAsia="zh-CN"/>
        </w:rPr>
      </w:pPr>
    </w:p>
    <w:p w14:paraId="61C44337">
      <w:pPr>
        <w:keepNext w:val="0"/>
        <w:keepLines w:val="0"/>
        <w:pageBreakBefore w:val="0"/>
        <w:widowControl w:val="0"/>
        <w:kinsoku/>
        <w:wordWrap/>
        <w:overflowPunct/>
        <w:topLinePunct w:val="0"/>
        <w:autoSpaceDE/>
        <w:autoSpaceDN/>
        <w:bidi w:val="0"/>
        <w:adjustRightInd/>
        <w:snapToGrid/>
        <w:spacing w:line="620" w:lineRule="exact"/>
        <w:textAlignment w:val="auto"/>
        <w:outlineLvl w:val="9"/>
        <w:rPr>
          <w:rFonts w:ascii="仿宋" w:hAnsi="仿宋" w:eastAsia="仿宋" w:cs="Times New Roman"/>
          <w:sz w:val="21"/>
          <w:szCs w:val="21"/>
          <w:u w:val="thick"/>
          <w:lang w:eastAsia="zh-CN"/>
        </w:rPr>
      </w:pPr>
      <w:r>
        <w:rPr>
          <w:rFonts w:hint="eastAsia" w:ascii="仿宋" w:hAnsi="仿宋" w:eastAsia="仿宋" w:cs="仿宋"/>
          <w:sz w:val="21"/>
          <w:szCs w:val="21"/>
          <w:u w:val="thick"/>
          <w:lang w:eastAsia="zh-CN"/>
        </w:rPr>
        <w:t>　　　　　　　　　　　　　　　　　　　　　　　　　　　　　　　　　　　　　　　　　　　　</w:t>
      </w:r>
    </w:p>
    <w:p w14:paraId="416CCE93">
      <w:pPr>
        <w:pStyle w:val="19"/>
        <w:spacing w:line="560" w:lineRule="exact"/>
        <w:ind w:firstLine="280" w:firstLineChars="100"/>
        <w:jc w:val="left"/>
        <w:rPr>
          <w:rFonts w:ascii="仿宋" w:hAnsi="仿宋" w:eastAsia="仿宋" w:cs="Times New Roman"/>
          <w:sz w:val="28"/>
          <w:szCs w:val="28"/>
          <w:lang w:val="en-US" w:eastAsia="zh-CN"/>
        </w:rPr>
      </w:pPr>
      <w:r>
        <w:rPr>
          <w:rFonts w:hint="eastAsia" w:ascii="仿宋" w:hAnsi="仿宋" w:eastAsia="仿宋" w:cs="仿宋"/>
          <w:sz w:val="28"/>
          <w:szCs w:val="28"/>
          <w:lang w:eastAsia="zh-CN"/>
        </w:rPr>
        <w:t>连城县城市管理局综合股</w:t>
      </w:r>
      <w:r>
        <w:rPr>
          <w:rFonts w:ascii="仿宋" w:hAnsi="仿宋" w:eastAsia="仿宋" w:cs="仿宋"/>
          <w:sz w:val="28"/>
          <w:szCs w:val="28"/>
          <w:lang w:val="en-US" w:eastAsia="zh-CN"/>
        </w:rPr>
        <w:t xml:space="preserve">            </w:t>
      </w:r>
      <w:r>
        <w:rPr>
          <w:rFonts w:hint="eastAsia" w:ascii="仿宋" w:hAnsi="仿宋" w:eastAsia="仿宋" w:cs="仿宋"/>
          <w:sz w:val="28"/>
          <w:szCs w:val="28"/>
          <w:lang w:val="en-US" w:eastAsia="zh-CN"/>
        </w:rPr>
        <w:t xml:space="preserve"> </w:t>
      </w:r>
      <w:r>
        <w:rPr>
          <w:rFonts w:ascii="仿宋" w:hAnsi="仿宋" w:eastAsia="仿宋" w:cs="仿宋"/>
          <w:sz w:val="28"/>
          <w:szCs w:val="28"/>
          <w:lang w:val="en-US" w:eastAsia="zh-CN"/>
        </w:rPr>
        <w:t xml:space="preserve">    </w:t>
      </w:r>
      <w:r>
        <w:rPr>
          <w:rFonts w:hint="eastAsia" w:ascii="仿宋" w:hAnsi="仿宋" w:eastAsia="仿宋" w:cs="仿宋"/>
          <w:sz w:val="28"/>
          <w:szCs w:val="28"/>
          <w:lang w:val="en-US" w:eastAsia="zh-CN"/>
        </w:rPr>
        <w:t xml:space="preserve">  </w:t>
      </w:r>
      <w:r>
        <w:rPr>
          <w:rFonts w:ascii="仿宋" w:hAnsi="仿宋" w:eastAsia="仿宋" w:cs="仿宋"/>
          <w:sz w:val="28"/>
          <w:szCs w:val="28"/>
          <w:lang w:val="en-US" w:eastAsia="zh-CN"/>
        </w:rPr>
        <w:t>202</w:t>
      </w:r>
      <w:r>
        <w:rPr>
          <w:rFonts w:hint="eastAsia" w:ascii="仿宋" w:hAnsi="仿宋" w:eastAsia="仿宋" w:cs="仿宋"/>
          <w:sz w:val="28"/>
          <w:szCs w:val="28"/>
          <w:lang w:val="en-US" w:eastAsia="zh-CN"/>
        </w:rPr>
        <w:t>2年6月15日印发</w:t>
      </w:r>
    </w:p>
    <w:p w14:paraId="279E0867">
      <w:pPr>
        <w:spacing w:line="240" w:lineRule="exact"/>
        <w:rPr>
          <w:rFonts w:cs="Times New Roman"/>
        </w:rPr>
      </w:pPr>
      <w:r>
        <w:rPr>
          <w:rFonts w:hint="eastAsia" w:cs="宋体"/>
          <w:u w:val="thick"/>
        </w:rPr>
        <w:t>　　　　　　　　　　　　　　　　　　　　　　　　　　　　　　　　　　　　　</w:t>
      </w:r>
      <w:r>
        <w:rPr>
          <w:rFonts w:hint="eastAsia" w:cs="宋体"/>
          <w:u w:val="thick"/>
          <w:lang w:val="en-US" w:eastAsia="zh-CN"/>
        </w:rPr>
        <w:t xml:space="preserve">   </w:t>
      </w:r>
      <w:r>
        <w:rPr>
          <w:rFonts w:hint="eastAsia" w:cs="宋体"/>
          <w:u w:val="thick"/>
        </w:rPr>
        <w:t>　</w:t>
      </w:r>
      <w:r>
        <w:rPr>
          <w:u w:val="thick"/>
        </w:rPr>
        <w:t xml:space="preserve">    </w:t>
      </w:r>
      <w:r>
        <w:rPr>
          <w:rFonts w:hint="eastAsia" w:cs="宋体"/>
          <w:u w:val="thick"/>
        </w:rPr>
        <w:t>　　</w:t>
      </w:r>
    </w:p>
    <w:sectPr>
      <w:footerReference r:id="rId3" w:type="default"/>
      <w:pgSz w:w="11906" w:h="16838"/>
      <w:pgMar w:top="2098" w:right="1474" w:bottom="2098" w:left="1587" w:header="851" w:footer="1701"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_x000B__x000C_">
    <w:altName w:val="Times New Roman"/>
    <w:panose1 w:val="00000000000000000000"/>
    <w:charset w:val="00"/>
    <w:family w:val="auto"/>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6D37A">
    <w:pPr>
      <w:pStyle w:val="6"/>
      <w:rPr>
        <w:rFonts w:cs="Times New Roman"/>
      </w:rPr>
    </w:pPr>
    <w:r>
      <w:pict>
        <v:rect id="文本框 2" o:spid="_x0000_s4098" o:spt="1" style="position:absolute;left:0pt;margin-top:0pt;height:144pt;width:144pt;mso-position-horizontal:outside;mso-position-horizontal-relative:margin;mso-wrap-style:none;z-index:251659264;mso-width-relative:page;mso-height-relative:page;" filled="f" o:preferrelative="t" stroked="f" coordsize="21600,21600">
          <v:path/>
          <v:fill on="f" focussize="0,0"/>
          <v:stroke on="f"/>
          <v:imagedata o:title=""/>
          <o:lock v:ext="edit"/>
          <v:textbox inset="0mm,0mm,0mm,0mm" style="mso-fit-shape-to-text:t;">
            <w:txbxContent>
              <w:p w14:paraId="0F7FC1E1">
                <w:pPr>
                  <w:pStyle w:val="6"/>
                  <w:rPr>
                    <w:rFonts w:ascii="宋体" w:cs="Times New Roman"/>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1</w:t>
                </w:r>
                <w:r>
                  <w:rPr>
                    <w:rFonts w:ascii="宋体" w:hAnsi="宋体" w:cs="宋体"/>
                    <w:sz w:val="28"/>
                    <w:szCs w:val="28"/>
                  </w:rPr>
                  <w:fldChar w:fldCharType="end"/>
                </w:r>
                <w:r>
                  <w:rPr>
                    <w:rFonts w:ascii="宋体" w:hAnsi="宋体" w:cs="宋体"/>
                    <w:sz w:val="28"/>
                    <w:szCs w:val="28"/>
                  </w:rPr>
                  <w:t xml:space="preserve"> —</w:t>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8797C72"/>
    <w:rsid w:val="00257937"/>
    <w:rsid w:val="003735D7"/>
    <w:rsid w:val="00377B05"/>
    <w:rsid w:val="003B0634"/>
    <w:rsid w:val="004F0C80"/>
    <w:rsid w:val="005D5E9A"/>
    <w:rsid w:val="008C7943"/>
    <w:rsid w:val="01F81080"/>
    <w:rsid w:val="03F87B73"/>
    <w:rsid w:val="05C4176A"/>
    <w:rsid w:val="05D839D6"/>
    <w:rsid w:val="06913CB6"/>
    <w:rsid w:val="074A536D"/>
    <w:rsid w:val="08370879"/>
    <w:rsid w:val="0AC24B5B"/>
    <w:rsid w:val="0BED13F4"/>
    <w:rsid w:val="0C483CB5"/>
    <w:rsid w:val="0C5F0308"/>
    <w:rsid w:val="102162A6"/>
    <w:rsid w:val="11D068DC"/>
    <w:rsid w:val="12197DCB"/>
    <w:rsid w:val="12914135"/>
    <w:rsid w:val="136526B5"/>
    <w:rsid w:val="13F255C7"/>
    <w:rsid w:val="13F743A5"/>
    <w:rsid w:val="148010AA"/>
    <w:rsid w:val="165A471F"/>
    <w:rsid w:val="16D31FED"/>
    <w:rsid w:val="18FB7E5C"/>
    <w:rsid w:val="197625B4"/>
    <w:rsid w:val="19C31ED3"/>
    <w:rsid w:val="1A4C3148"/>
    <w:rsid w:val="1BFF75AA"/>
    <w:rsid w:val="1DC62EB6"/>
    <w:rsid w:val="1F7E26B9"/>
    <w:rsid w:val="21323004"/>
    <w:rsid w:val="21E738EE"/>
    <w:rsid w:val="238D76F0"/>
    <w:rsid w:val="27BC25F2"/>
    <w:rsid w:val="28797C72"/>
    <w:rsid w:val="2AFB6893"/>
    <w:rsid w:val="2B710326"/>
    <w:rsid w:val="2DB73D26"/>
    <w:rsid w:val="2E9D6A09"/>
    <w:rsid w:val="2F02092C"/>
    <w:rsid w:val="3055195D"/>
    <w:rsid w:val="31ED0561"/>
    <w:rsid w:val="33177BF8"/>
    <w:rsid w:val="360952DF"/>
    <w:rsid w:val="360D16B0"/>
    <w:rsid w:val="38DF66DE"/>
    <w:rsid w:val="3ADB3687"/>
    <w:rsid w:val="3B963E5B"/>
    <w:rsid w:val="3EEA6332"/>
    <w:rsid w:val="3F902F56"/>
    <w:rsid w:val="41606B55"/>
    <w:rsid w:val="428E6DF1"/>
    <w:rsid w:val="42A73F99"/>
    <w:rsid w:val="438F3E4A"/>
    <w:rsid w:val="45E23F0B"/>
    <w:rsid w:val="468D0A19"/>
    <w:rsid w:val="46D92C4C"/>
    <w:rsid w:val="47AA191D"/>
    <w:rsid w:val="49D6515C"/>
    <w:rsid w:val="4E684632"/>
    <w:rsid w:val="54736940"/>
    <w:rsid w:val="557C0115"/>
    <w:rsid w:val="57594F6F"/>
    <w:rsid w:val="57A63DB8"/>
    <w:rsid w:val="5ACF07A2"/>
    <w:rsid w:val="5C3D6888"/>
    <w:rsid w:val="5C61460E"/>
    <w:rsid w:val="5E061677"/>
    <w:rsid w:val="60964DD7"/>
    <w:rsid w:val="635F2E3C"/>
    <w:rsid w:val="64843D3F"/>
    <w:rsid w:val="6F6D5891"/>
    <w:rsid w:val="71245987"/>
    <w:rsid w:val="72E550D2"/>
    <w:rsid w:val="7A0A498E"/>
    <w:rsid w:val="7A4E3CFC"/>
    <w:rsid w:val="7CE75493"/>
    <w:rsid w:val="7F252844"/>
    <w:rsid w:val="7F7C58C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2"/>
    <w:basedOn w:val="1"/>
    <w:next w:val="1"/>
    <w:link w:val="12"/>
    <w:qFormat/>
    <w:uiPriority w:val="99"/>
    <w:pPr>
      <w:spacing w:beforeAutospacing="1" w:afterAutospacing="1"/>
      <w:jc w:val="left"/>
      <w:outlineLvl w:val="1"/>
    </w:pPr>
    <w:rPr>
      <w:rFonts w:ascii="宋体" w:hAnsi="宋体" w:cs="宋体"/>
      <w:b/>
      <w:bCs/>
      <w:kern w:val="0"/>
      <w:sz w:val="36"/>
      <w:szCs w:val="36"/>
    </w:rPr>
  </w:style>
  <w:style w:type="paragraph" w:styleId="2">
    <w:name w:val="heading 3"/>
    <w:basedOn w:val="1"/>
    <w:next w:val="1"/>
    <w:link w:val="13"/>
    <w:qFormat/>
    <w:uiPriority w:val="99"/>
    <w:pPr>
      <w:widowControl/>
      <w:spacing w:beforeAutospacing="1" w:afterAutospacing="1"/>
      <w:jc w:val="left"/>
      <w:outlineLvl w:val="2"/>
    </w:pPr>
    <w:rPr>
      <w:rFonts w:ascii="宋体" w:hAnsi="宋体" w:cs="宋体"/>
      <w:b/>
      <w:bCs/>
      <w:kern w:val="0"/>
      <w:sz w:val="27"/>
      <w:szCs w:val="27"/>
    </w:rPr>
  </w:style>
  <w:style w:type="character" w:default="1" w:styleId="11">
    <w:name w:val="Default Paragraph Font"/>
    <w:semiHidden/>
    <w:qFormat/>
    <w:uiPriority w:val="99"/>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4"/>
    <w:qFormat/>
    <w:uiPriority w:val="99"/>
    <w:rPr>
      <w:rFonts w:ascii="宋体" w:hAnsi="宋体" w:cs="宋体"/>
      <w:sz w:val="32"/>
      <w:szCs w:val="32"/>
      <w:lang w:val="zh-CN"/>
    </w:rPr>
  </w:style>
  <w:style w:type="paragraph" w:styleId="5">
    <w:name w:val="Body Text Indent"/>
    <w:basedOn w:val="1"/>
    <w:link w:val="15"/>
    <w:qFormat/>
    <w:uiPriority w:val="99"/>
    <w:pPr>
      <w:ind w:firstLine="570"/>
    </w:pPr>
    <w:rPr>
      <w:rFonts w:ascii="_x000B__x000C_" w:hAnsi="_x000B__x000C_" w:cs="_x000B__x000C_"/>
      <w:sz w:val="28"/>
      <w:szCs w:val="28"/>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1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8">
    <w:name w:val="Normal (Web)"/>
    <w:basedOn w:val="1"/>
    <w:qFormat/>
    <w:uiPriority w:val="99"/>
    <w:pPr>
      <w:spacing w:beforeAutospacing="1" w:afterAutospacing="1"/>
      <w:jc w:val="left"/>
    </w:pPr>
    <w:rPr>
      <w:kern w:val="0"/>
      <w:sz w:val="24"/>
      <w:szCs w:val="24"/>
    </w:rPr>
  </w:style>
  <w:style w:type="paragraph" w:styleId="9">
    <w:name w:val="Body Text First Indent 2"/>
    <w:basedOn w:val="5"/>
    <w:link w:val="17"/>
    <w:qFormat/>
    <w:uiPriority w:val="99"/>
    <w:pPr>
      <w:ind w:firstLine="420" w:firstLineChars="200"/>
    </w:pPr>
  </w:style>
  <w:style w:type="character" w:customStyle="1" w:styleId="12">
    <w:name w:val="Heading 2 Char"/>
    <w:basedOn w:val="11"/>
    <w:link w:val="3"/>
    <w:semiHidden/>
    <w:qFormat/>
    <w:uiPriority w:val="9"/>
    <w:rPr>
      <w:rFonts w:asciiTheme="majorHAnsi" w:hAnsiTheme="majorHAnsi" w:eastAsiaTheme="majorEastAsia" w:cstheme="majorBidi"/>
      <w:b/>
      <w:bCs/>
      <w:sz w:val="32"/>
      <w:szCs w:val="32"/>
    </w:rPr>
  </w:style>
  <w:style w:type="character" w:customStyle="1" w:styleId="13">
    <w:name w:val="Heading 3 Char"/>
    <w:basedOn w:val="11"/>
    <w:link w:val="2"/>
    <w:semiHidden/>
    <w:qFormat/>
    <w:uiPriority w:val="9"/>
    <w:rPr>
      <w:rFonts w:ascii="Calibri" w:hAnsi="Calibri" w:cs="Calibri"/>
      <w:b/>
      <w:bCs/>
      <w:sz w:val="32"/>
      <w:szCs w:val="32"/>
    </w:rPr>
  </w:style>
  <w:style w:type="character" w:customStyle="1" w:styleId="14">
    <w:name w:val="Body Text Char"/>
    <w:basedOn w:val="11"/>
    <w:link w:val="4"/>
    <w:semiHidden/>
    <w:qFormat/>
    <w:uiPriority w:val="99"/>
    <w:rPr>
      <w:rFonts w:ascii="Calibri" w:hAnsi="Calibri" w:cs="Calibri"/>
      <w:szCs w:val="21"/>
    </w:rPr>
  </w:style>
  <w:style w:type="character" w:customStyle="1" w:styleId="15">
    <w:name w:val="Body Text Indent Char"/>
    <w:basedOn w:val="11"/>
    <w:link w:val="5"/>
    <w:semiHidden/>
    <w:qFormat/>
    <w:uiPriority w:val="99"/>
    <w:rPr>
      <w:rFonts w:ascii="Calibri" w:hAnsi="Calibri" w:cs="Calibri"/>
      <w:szCs w:val="21"/>
    </w:rPr>
  </w:style>
  <w:style w:type="character" w:customStyle="1" w:styleId="16">
    <w:name w:val="Footer Char"/>
    <w:basedOn w:val="11"/>
    <w:link w:val="6"/>
    <w:semiHidden/>
    <w:qFormat/>
    <w:uiPriority w:val="99"/>
    <w:rPr>
      <w:rFonts w:ascii="Calibri" w:hAnsi="Calibri" w:cs="Calibri"/>
      <w:sz w:val="18"/>
      <w:szCs w:val="18"/>
    </w:rPr>
  </w:style>
  <w:style w:type="character" w:customStyle="1" w:styleId="17">
    <w:name w:val="Body Text First Indent 2 Char"/>
    <w:basedOn w:val="15"/>
    <w:link w:val="9"/>
    <w:semiHidden/>
    <w:qFormat/>
    <w:uiPriority w:val="99"/>
  </w:style>
  <w:style w:type="character" w:customStyle="1" w:styleId="18">
    <w:name w:val="Header Char"/>
    <w:basedOn w:val="11"/>
    <w:link w:val="7"/>
    <w:semiHidden/>
    <w:qFormat/>
    <w:uiPriority w:val="99"/>
    <w:rPr>
      <w:rFonts w:ascii="Calibri" w:hAnsi="Calibri" w:cs="Calibri"/>
      <w:sz w:val="18"/>
      <w:szCs w:val="18"/>
    </w:rPr>
  </w:style>
  <w:style w:type="paragraph" w:customStyle="1" w:styleId="19">
    <w:name w:val="Other|1"/>
    <w:basedOn w:val="1"/>
    <w:qFormat/>
    <w:uiPriority w:val="99"/>
    <w:pPr>
      <w:spacing w:line="310" w:lineRule="exact"/>
    </w:pPr>
    <w:rPr>
      <w:rFonts w:ascii="宋体" w:hAnsi="宋体" w:cs="宋体"/>
      <w:sz w:val="20"/>
      <w:szCs w:val="20"/>
      <w:lang w:val="zh-TW" w:eastAsia="zh-TW"/>
    </w:rPr>
  </w:style>
  <w:style w:type="paragraph" w:customStyle="1" w:styleId="20">
    <w:name w:val="Body text|1"/>
    <w:basedOn w:val="1"/>
    <w:qFormat/>
    <w:uiPriority w:val="0"/>
    <w:pPr>
      <w:widowControl w:val="0"/>
      <w:shd w:val="clear" w:color="auto" w:fill="auto"/>
      <w:spacing w:line="394" w:lineRule="auto"/>
      <w:ind w:firstLine="400"/>
    </w:pPr>
    <w:rPr>
      <w:rFonts w:ascii="宋体" w:hAnsi="宋体" w:eastAsia="宋体" w:cs="宋体"/>
      <w:sz w:val="30"/>
      <w:szCs w:val="30"/>
      <w:u w:val="none"/>
      <w:shd w:val="clear" w:color="auto" w:fill="auto"/>
      <w:lang w:val="zh-TW" w:eastAsia="zh-TW" w:bidi="zh-TW"/>
    </w:rPr>
  </w:style>
  <w:style w:type="paragraph" w:customStyle="1" w:styleId="21">
    <w:name w:val="Header or foot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22">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P R C</Company>
  <Pages>6</Pages>
  <Words>2101</Words>
  <Characters>2143</Characters>
  <Lines>0</Lines>
  <Paragraphs>0</Paragraphs>
  <TotalTime>20</TotalTime>
  <ScaleCrop>false</ScaleCrop>
  <LinksUpToDate>false</LinksUpToDate>
  <CharactersWithSpaces>2316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2021-06-03T02:34:00Z</dcterms:created>
  <dc:creator>jiangping685</dc:creator>
  <cp:lastModifiedBy>赖炜鑫</cp:lastModifiedBy>
  <cp:lastPrinted>2022-06-20T09:06:00Z</cp:lastPrinted>
  <dcterms:modified xsi:type="dcterms:W3CDTF">2025-12-29T03:03:02Z</dcterms:modified>
  <dc:title>连委治县办〔2021〕12号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54A06244CDBC40468C88CE471ED0DBEA</vt:lpwstr>
  </property>
  <property fmtid="{D5CDD505-2E9C-101B-9397-08002B2CF9AE}" pid="4" name="KSOTemplateDocerSaveRecord">
    <vt:lpwstr>eyJoZGlkIjoiYjQ2OTFiNThjZWNmOWI1NGM1MzBjODc2YjM5YjAzZjMiLCJ1c2VySWQiOiI0NjAxOTM5MTQifQ==</vt:lpwstr>
  </property>
</Properties>
</file>