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附件一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：</w:t>
      </w:r>
    </w:p>
    <w:tbl>
      <w:tblPr>
        <w:tblStyle w:val="4"/>
        <w:tblW w:w="9000" w:type="dxa"/>
        <w:tblInd w:w="-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1184"/>
        <w:gridCol w:w="189"/>
        <w:gridCol w:w="2916"/>
        <w:gridCol w:w="21"/>
        <w:gridCol w:w="1209"/>
        <w:gridCol w:w="1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540" w:hRule="atLeast"/>
        </w:trPr>
        <w:tc>
          <w:tcPr>
            <w:tcW w:w="88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黑体" w:hAnsi="黑体" w:eastAsia="黑体" w:cs="Arial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2016年收支预算总表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285" w:hRule="atLeast"/>
        </w:trPr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编制单位：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4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收入</w:t>
            </w:r>
          </w:p>
        </w:tc>
        <w:tc>
          <w:tcPr>
            <w:tcW w:w="43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决算数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项目(按经济分类)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决算数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一、财政拨款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1,062.00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一、基本支出和项目支出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2,148.00</w:t>
            </w:r>
          </w:p>
        </w:tc>
      </w:tr>
      <w:tr>
        <w:tblPrEx>
          <w:tblLayout w:type="fixed"/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　其中：政府性基金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工资福利支出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367.60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二、上级补助收入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400.00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商品和服务支出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1,510.40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三、事业收入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对个人和家庭的补助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261.00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四、经营收入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对企事业单位的补贴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五、附属单位缴款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赠与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六、其他收入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686.00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债务利息支出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其中：本级横向财政拨款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基本建设支出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　　　  非本级财政拨款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其他资本性支出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9.00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贷款转贷及产权参股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其他支出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二、上缴上级支出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三、经营支出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四、对附属单位补助支出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本年收入合计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2,148.00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2,148.00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用事业基金弥补收支差额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结余分配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年初结转和结余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交纳所得税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4" w:type="dxa"/>
          <w:trHeight w:val="308" w:hRule="atLeast"/>
        </w:trPr>
        <w:tc>
          <w:tcPr>
            <w:tcW w:w="33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基本支出结转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提取职工福利基金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其中：财政拨款结转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转入事业基金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项目支出结转和结余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其他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其中：财政拨款结转和结余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年末结转和结余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经营结余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基本支出结转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其中：财政拨款结转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项目支出结转和结余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其中：财政拨款结转和结余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 xml:space="preserve">      经营结余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2,148.00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2,148.00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 w:firstLine="1760"/>
        <w:textAlignment w:val="auto"/>
        <w:outlineLvl w:val="9"/>
        <w:rPr>
          <w:rFonts w:hint="eastAsia" w:ascii="Calibri" w:hAnsi="Calibri" w:cs="宋体"/>
          <w:color w:val="000000"/>
          <w:kern w:val="0"/>
          <w:szCs w:val="21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 w:firstLine="1760"/>
        <w:textAlignment w:val="auto"/>
        <w:outlineLvl w:val="9"/>
        <w:rPr>
          <w:rFonts w:hint="eastAsia" w:ascii="Calibri" w:hAnsi="Calibri" w:cs="宋体"/>
          <w:color w:val="000000"/>
          <w:kern w:val="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tbl>
      <w:tblPr>
        <w:tblStyle w:val="4"/>
        <w:tblW w:w="86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997"/>
        <w:gridCol w:w="43"/>
        <w:gridCol w:w="481"/>
        <w:gridCol w:w="1216"/>
        <w:gridCol w:w="60"/>
        <w:gridCol w:w="299"/>
        <w:gridCol w:w="1380"/>
        <w:gridCol w:w="1"/>
        <w:gridCol w:w="76"/>
        <w:gridCol w:w="1603"/>
        <w:gridCol w:w="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20" w:hRule="atLeast"/>
        </w:trPr>
        <w:tc>
          <w:tcPr>
            <w:tcW w:w="34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</w:rPr>
              <w:t>附件2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40" w:hRule="atLeast"/>
        </w:trPr>
        <w:tc>
          <w:tcPr>
            <w:tcW w:w="858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黑体" w:hAnsi="黑体" w:eastAsia="黑体" w:cs="Arial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2016年公共财政拨款支出预算表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10" w:hRule="atLeast"/>
        </w:trPr>
        <w:tc>
          <w:tcPr>
            <w:tcW w:w="39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编制单位：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540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2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类款项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kern w:val="0"/>
                <w:sz w:val="21"/>
                <w:szCs w:val="21"/>
              </w:rPr>
              <w:t>合计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2,148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1,462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686</w:t>
            </w:r>
          </w:p>
        </w:tc>
      </w:tr>
      <w:tr>
        <w:tblPrEx>
          <w:tblLayout w:type="fixed"/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201 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一般公共服务支出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207 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文化体育与传媒支出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20802 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社会保障和就业支出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210 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医疗卫生与计划生育支出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公共安全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317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 xml:space="preserve">213 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农林水支出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260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教育管理事务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城乡社区事务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402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25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1"/>
                <w:szCs w:val="21"/>
              </w:rPr>
              <w:t>其它支出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宋体" w:hAnsi="宋体" w:eastAsia="宋体" w:cs="Arial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宋体" w:hAnsi="宋体" w:cs="Arial"/>
                <w:b/>
                <w:bCs/>
                <w:kern w:val="0"/>
                <w:sz w:val="28"/>
                <w:szCs w:val="28"/>
                <w:lang w:val="en-US" w:eastAsia="zh-CN"/>
              </w:rPr>
              <w:t>3：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20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16"/>
                <w:szCs w:val="16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kern w:val="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黑体" w:hAnsi="Arial" w:eastAsia="黑体" w:cs="Arial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2016年政府性基金支出预算表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编制单位：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科目编码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科目名称</w:t>
            </w: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本年支出合计</w:t>
            </w:r>
          </w:p>
        </w:tc>
        <w:tc>
          <w:tcPr>
            <w:tcW w:w="17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1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类款项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合计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kern w:val="0"/>
                <w:sz w:val="22"/>
                <w:szCs w:val="22"/>
              </w:rPr>
              <w:t>0</w:t>
            </w:r>
          </w:p>
        </w:tc>
        <w:tc>
          <w:tcPr>
            <w:tcW w:w="173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kern w:val="0"/>
                <w:sz w:val="28"/>
                <w:szCs w:val="28"/>
              </w:rPr>
              <w:t>0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kern w:val="0"/>
                <w:sz w:val="28"/>
                <w:szCs w:val="2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宋体" w:hAnsi="宋体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tbl>
      <w:tblPr>
        <w:tblStyle w:val="4"/>
        <w:tblW w:w="92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0"/>
        <w:gridCol w:w="39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黑体" w:hAnsi="Arial" w:eastAsia="黑体" w:cs="Arial"/>
                <w:kern w:val="0"/>
                <w:sz w:val="28"/>
                <w:szCs w:val="28"/>
              </w:rPr>
            </w:pPr>
            <w:r>
              <w:rPr>
                <w:rFonts w:hint="eastAsia" w:ascii="黑体" w:hAnsi="Arial" w:eastAsia="黑体" w:cs="Arial"/>
                <w:kern w:val="0"/>
                <w:sz w:val="32"/>
                <w:szCs w:val="32"/>
              </w:rPr>
              <w:t>附件4</w:t>
            </w:r>
            <w:r>
              <w:rPr>
                <w:rFonts w:hint="eastAsia" w:ascii="黑体" w:hAnsi="Arial" w:eastAsia="黑体" w:cs="Arial"/>
                <w:kern w:val="0"/>
                <w:sz w:val="32"/>
                <w:szCs w:val="32"/>
                <w:lang w:eastAsia="zh-CN"/>
              </w:rPr>
              <w:t>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黑体" w:hAnsi="黑体" w:eastAsia="黑体" w:cs="Arial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“三公”经费公共财政拨款支出预算表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编制单位：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项目</w:t>
            </w:r>
          </w:p>
        </w:tc>
        <w:tc>
          <w:tcPr>
            <w:tcW w:w="3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本年决算数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合计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56</w:t>
            </w:r>
          </w:p>
        </w:tc>
      </w:tr>
      <w:tr>
        <w:tblPrEx>
          <w:tblLayout w:type="fixed"/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1.会议费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4.8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2.公务接待费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40.4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3.公务用车购置及运行维护费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10.8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 xml:space="preserve">     其中：（1）公务用车购置费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5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 xml:space="preserve">           （2）公务用车运行维护费</w:t>
            </w:r>
          </w:p>
        </w:tc>
        <w:tc>
          <w:tcPr>
            <w:tcW w:w="3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right"/>
              <w:textAlignment w:val="auto"/>
              <w:outlineLvl w:val="9"/>
              <w:rPr>
                <w:rFonts w:ascii="宋体" w:hAnsi="宋体" w:cs="Arial"/>
                <w:sz w:val="32"/>
                <w:szCs w:val="32"/>
              </w:rPr>
            </w:pPr>
            <w:r>
              <w:rPr>
                <w:rFonts w:hint="eastAsia" w:cs="Arial"/>
                <w:sz w:val="24"/>
                <w:szCs w:val="32"/>
              </w:rPr>
              <w:t>10.8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黑体" w:hAnsi="Arial" w:eastAsia="黑体" w:cs="Arial"/>
                <w:kern w:val="0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586" w:hRule="atLeast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黑体" w:hAnsi="Arial" w:eastAsia="黑体" w:cs="Arial"/>
                <w:kern w:val="0"/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90" w:lineRule="exact"/>
              <w:ind w:right="0" w:rightChars="0"/>
              <w:jc w:val="left"/>
              <w:textAlignment w:val="auto"/>
              <w:outlineLvl w:val="9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90" w:lineRule="exact"/>
        <w:ind w:right="0" w:rightChars="0"/>
        <w:textAlignment w:val="auto"/>
        <w:outlineLvl w:val="9"/>
        <w:rPr>
          <w:rFonts w:hint="eastAsia"/>
        </w:rPr>
      </w:pPr>
    </w:p>
    <w:p>
      <w:pPr/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D57C3"/>
    <w:rsid w:val="617D57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2016-05-13T02:39:00Z</dcterms:created>
  <dc:creator>Administrator</dc:creator>
  <cp:lastModifiedBy>Administrator</cp:lastModifiedBy>
  <dcterms:modified xsi:type="dcterms:W3CDTF">2016-05-13T02:39:59Z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