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Default ContentType="image/x-wmf" Extension="wmf"/>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2" Type="http://schemas.openxmlformats.org/officeDocument/2006/relationships/extended-properties" Target="docProps/app.xml"/><Relationship Id="rId3" Type="http://schemas.openxmlformats.org/package/2006/relationships/metadata/core-properties" Target="docProps/core.xml"/><Relationship Id="rId1" Type="http://schemas.openxmlformats.org/package/2006/relationships/metadata/thumbnail" Target="docProps/thumbnail.wmf"/><Relationship Id="rId5"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_GBK" w:eastAsia="方正小标宋_GBK"/>
          <w:sz w:val="36"/>
          <w:szCs w:val="36"/>
        </w:rPr>
      </w:pPr>
      <w:r>
        <w:rPr>
          <w:rFonts w:hint="eastAsia" w:ascii="方正小标宋_GBK" w:hAnsi="仿宋" w:eastAsia="方正小标宋_GBK"/>
          <w:sz w:val="36"/>
          <w:szCs w:val="36"/>
          <w:lang w:eastAsia="zh-CN"/>
        </w:rPr>
        <w:t>连城县老干部局</w:t>
      </w:r>
      <w:r>
        <w:rPr>
          <w:rFonts w:hint="eastAsia" w:ascii="方正小标宋_GBK" w:eastAsia="方正小标宋_GBK"/>
          <w:sz w:val="36"/>
          <w:szCs w:val="36"/>
        </w:rPr>
        <w:t>关于2017年部门预算和2016年部门决算相关公开事项的补充说明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ascii="黑体" w:hAnsi="黑体" w:eastAsia="黑体"/>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老干部局</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339.68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103.26</w:t>
      </w:r>
      <w:r>
        <w:rPr>
          <w:rFonts w:hint="eastAsia" w:ascii="仿宋" w:hAnsi="仿宋" w:eastAsia="仿宋"/>
          <w:sz w:val="32"/>
          <w:szCs w:val="32"/>
        </w:rPr>
        <w:t>万元</w:t>
      </w:r>
      <w:r>
        <w:rPr>
          <w:rFonts w:hint="eastAsia" w:ascii="仿宋" w:hAnsi="仿宋" w:eastAsia="仿宋"/>
          <w:sz w:val="32"/>
          <w:szCs w:val="32"/>
          <w:lang w:eastAsia="zh-CN"/>
        </w:rPr>
        <w:t>（具体为人员支出预算增加</w:t>
      </w:r>
      <w:r>
        <w:rPr>
          <w:rFonts w:hint="eastAsia" w:ascii="仿宋" w:hAnsi="仿宋" w:eastAsia="仿宋"/>
          <w:sz w:val="32"/>
          <w:szCs w:val="32"/>
          <w:lang w:val="en-US" w:eastAsia="zh-CN"/>
        </w:rPr>
        <w:t>86.28万元，日常公用支出预算增加3.13万元，项目支出预算增加13.85万元），</w:t>
      </w:r>
      <w:r>
        <w:rPr>
          <w:rFonts w:hint="eastAsia" w:ascii="仿宋" w:hAnsi="仿宋" w:eastAsia="仿宋"/>
          <w:sz w:val="32"/>
          <w:szCs w:val="32"/>
        </w:rPr>
        <w:t>主要原因</w:t>
      </w:r>
      <w:r>
        <w:rPr>
          <w:rFonts w:hint="eastAsia" w:ascii="仿宋" w:hAnsi="仿宋" w:eastAsia="仿宋"/>
          <w:sz w:val="32"/>
          <w:szCs w:val="32"/>
          <w:lang w:eastAsia="zh-CN"/>
        </w:rPr>
        <w:t>一</w:t>
      </w:r>
      <w:r>
        <w:rPr>
          <w:rFonts w:hint="eastAsia" w:ascii="仿宋" w:hAnsi="仿宋" w:eastAsia="仿宋"/>
          <w:sz w:val="32"/>
          <w:szCs w:val="32"/>
        </w:rPr>
        <w:t>是</w:t>
      </w:r>
      <w:r>
        <w:rPr>
          <w:rFonts w:hint="eastAsia" w:ascii="仿宋" w:hAnsi="仿宋" w:eastAsia="仿宋"/>
          <w:sz w:val="32"/>
          <w:szCs w:val="32"/>
          <w:lang w:eastAsia="zh-CN"/>
        </w:rPr>
        <w:t>老体协、关工委、老年大学各</w:t>
      </w:r>
      <w:r>
        <w:rPr>
          <w:rFonts w:hint="eastAsia" w:ascii="仿宋" w:hAnsi="仿宋" w:eastAsia="仿宋"/>
          <w:sz w:val="32"/>
          <w:szCs w:val="32"/>
          <w:lang w:val="en-US" w:eastAsia="zh-CN"/>
        </w:rPr>
        <w:t>6万元工作经费列入收入预算</w:t>
      </w:r>
      <w:r>
        <w:rPr>
          <w:rFonts w:hint="eastAsia" w:ascii="仿宋" w:hAnsi="仿宋" w:eastAsia="仿宋" w:cs="仿宋_GB2312"/>
          <w:sz w:val="32"/>
          <w:szCs w:val="32"/>
          <w:lang w:eastAsia="zh-CN"/>
        </w:rPr>
        <w:t>；二是增加其他交通费</w:t>
      </w:r>
      <w:r>
        <w:rPr>
          <w:rFonts w:hint="eastAsia" w:ascii="仿宋" w:hAnsi="仿宋" w:eastAsia="仿宋" w:cs="仿宋_GB2312"/>
          <w:sz w:val="32"/>
          <w:szCs w:val="32"/>
          <w:lang w:val="en-US" w:eastAsia="zh-CN"/>
        </w:rPr>
        <w:t>10.08万元列入收入预算；三是增加工会经费2.45万元列入收入预算；四是增加社会保障性经费42.99万元列入收入预算；五是增住房公积金14.84万元列入收入预算；六是国库工资统发基本工资同比增加14.41万元列入收入预算。</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339.68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103.26</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339.68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103.26</w:t>
      </w:r>
      <w:r>
        <w:rPr>
          <w:rFonts w:hint="eastAsia" w:ascii="仿宋" w:hAnsi="仿宋" w:eastAsia="仿宋"/>
          <w:sz w:val="32"/>
          <w:szCs w:val="32"/>
        </w:rPr>
        <w:t>万元，主要原因是</w:t>
      </w:r>
      <w:r>
        <w:rPr>
          <w:rFonts w:hint="eastAsia" w:ascii="仿宋" w:hAnsi="仿宋" w:eastAsia="仿宋"/>
          <w:sz w:val="32"/>
          <w:szCs w:val="32"/>
          <w:lang w:eastAsia="zh-CN"/>
        </w:rPr>
        <w:t>老体协、关工委、老年大学各</w:t>
      </w:r>
      <w:r>
        <w:rPr>
          <w:rFonts w:hint="eastAsia" w:ascii="仿宋" w:hAnsi="仿宋" w:eastAsia="仿宋"/>
          <w:sz w:val="32"/>
          <w:szCs w:val="32"/>
          <w:lang w:val="en-US" w:eastAsia="zh-CN"/>
        </w:rPr>
        <w:t>6万元工作经费列入支出预算</w:t>
      </w:r>
      <w:r>
        <w:rPr>
          <w:rFonts w:hint="eastAsia" w:ascii="仿宋" w:hAnsi="仿宋" w:eastAsia="仿宋" w:cs="仿宋_GB2312"/>
          <w:sz w:val="32"/>
          <w:szCs w:val="32"/>
          <w:lang w:eastAsia="zh-CN"/>
        </w:rPr>
        <w:t>；二是增加其他交通费</w:t>
      </w:r>
      <w:r>
        <w:rPr>
          <w:rFonts w:hint="eastAsia" w:ascii="仿宋" w:hAnsi="仿宋" w:eastAsia="仿宋" w:cs="仿宋_GB2312"/>
          <w:sz w:val="32"/>
          <w:szCs w:val="32"/>
          <w:lang w:val="en-US" w:eastAsia="zh-CN"/>
        </w:rPr>
        <w:t>10.08万元列入支出预算；三是增加工会经费2.45万元列入支出预算；四是增加社会保障性支出42.99万元列入支出预算；五是增住房公积金14.84万元列入支出预算；六是国库工资统发基本工资同比增加14.41万元列入支出预算。</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老干部局</w:t>
      </w:r>
      <w:r>
        <w:rPr>
          <w:rFonts w:hint="eastAsia" w:ascii="仿宋" w:hAnsi="仿宋" w:eastAsia="仿宋"/>
          <w:sz w:val="32"/>
          <w:szCs w:val="32"/>
        </w:rPr>
        <w:t>（含实行公务员管理的事业单位）财政拨款预算安排的机关运行经费支出</w:t>
      </w:r>
      <w:r>
        <w:rPr>
          <w:rFonts w:hint="eastAsia" w:ascii="仿宋" w:hAnsi="仿宋" w:eastAsia="仿宋" w:cs="仿宋_GB2312"/>
          <w:kern w:val="0"/>
          <w:sz w:val="32"/>
          <w:szCs w:val="32"/>
          <w:lang w:val="en-US" w:eastAsia="zh-CN"/>
        </w:rPr>
        <w:t>11.65</w:t>
      </w:r>
      <w:r>
        <w:rPr>
          <w:rFonts w:hint="eastAsia" w:ascii="仿宋" w:hAnsi="仿宋" w:eastAsia="仿宋"/>
          <w:sz w:val="32"/>
          <w:szCs w:val="32"/>
        </w:rPr>
        <w:t>万元，比2016年</w:t>
      </w:r>
      <w:r>
        <w:rPr>
          <w:rFonts w:hint="eastAsia" w:ascii="仿宋" w:hAnsi="仿宋" w:eastAsia="仿宋"/>
          <w:sz w:val="32"/>
          <w:szCs w:val="32"/>
          <w:lang w:eastAsia="zh-CN"/>
        </w:rPr>
        <w:t>减少</w:t>
      </w:r>
      <w:r>
        <w:rPr>
          <w:rFonts w:hint="eastAsia" w:ascii="仿宋" w:hAnsi="仿宋" w:eastAsia="仿宋"/>
          <w:sz w:val="32"/>
          <w:szCs w:val="32"/>
          <w:lang w:val="en-US" w:eastAsia="zh-CN"/>
        </w:rPr>
        <w:t>25.63</w:t>
      </w:r>
      <w:r>
        <w:rPr>
          <w:rFonts w:hint="eastAsia" w:ascii="仿宋" w:hAnsi="仿宋" w:eastAsia="仿宋"/>
          <w:sz w:val="32"/>
          <w:szCs w:val="32"/>
        </w:rPr>
        <w:t>万元，主要原因是</w:t>
      </w:r>
      <w:r>
        <w:rPr>
          <w:rFonts w:hint="eastAsia" w:ascii="仿宋" w:hAnsi="仿宋" w:eastAsia="仿宋" w:cs="仿宋_GB2312"/>
          <w:kern w:val="0"/>
          <w:sz w:val="32"/>
          <w:szCs w:val="32"/>
          <w:lang w:eastAsia="zh-CN"/>
        </w:rPr>
        <w:t>商品和服务支出的预算减少</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sz w:val="32"/>
          <w:szCs w:val="32"/>
        </w:rPr>
      </w:pPr>
      <w:r>
        <w:rPr>
          <w:rFonts w:ascii="仿宋" w:hAnsi="仿宋" w:eastAsia="仿宋" w:cs="仿宋_GB2312"/>
          <w:kern w:val="0"/>
          <w:sz w:val="32"/>
          <w:szCs w:val="32"/>
        </w:rPr>
        <w:t>2016</w:t>
      </w:r>
      <w:r>
        <w:rPr>
          <w:rFonts w:hint="eastAsia" w:ascii="仿宋" w:hAnsi="仿宋" w:eastAsia="仿宋" w:cs="仿宋_GB2312"/>
          <w:kern w:val="0"/>
          <w:sz w:val="32"/>
          <w:szCs w:val="32"/>
        </w:rPr>
        <w:t>年度</w:t>
      </w:r>
      <w:r>
        <w:rPr>
          <w:rFonts w:hint="eastAsia" w:ascii="仿宋" w:hAnsi="仿宋" w:eastAsia="仿宋" w:cs="仿宋_GB2312"/>
          <w:kern w:val="0"/>
          <w:sz w:val="32"/>
          <w:szCs w:val="32"/>
          <w:lang w:eastAsia="zh-CN"/>
        </w:rPr>
        <w:t>老干部局</w:t>
      </w:r>
      <w:r>
        <w:rPr>
          <w:rFonts w:hint="eastAsia" w:ascii="仿宋" w:hAnsi="仿宋" w:eastAsia="仿宋" w:cs="仿宋_GB2312"/>
          <w:kern w:val="0"/>
          <w:sz w:val="32"/>
          <w:szCs w:val="32"/>
        </w:rPr>
        <w:t>政府采购支出总额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万元，其中：政府采购货物支出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万元、政府采购工程支出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万元、政府采购服务支出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ind w:firstLine="640" w:firstLineChars="200"/>
        <w:rPr>
          <w:rFonts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老干部</w:t>
      </w:r>
      <w:bookmarkStart w:id="0" w:name="_GoBack"/>
      <w:bookmarkEnd w:id="0"/>
      <w:r>
        <w:rPr>
          <w:rFonts w:hint="eastAsia" w:ascii="仿宋" w:hAnsi="仿宋" w:eastAsia="仿宋" w:cs="仿宋_GB2312"/>
          <w:kern w:val="0"/>
          <w:sz w:val="32"/>
          <w:szCs w:val="32"/>
          <w:lang w:eastAsia="zh-CN"/>
        </w:rPr>
        <w:t>局</w:t>
      </w:r>
      <w:r>
        <w:rPr>
          <w:rFonts w:hint="eastAsia" w:ascii="仿宋" w:hAnsi="仿宋" w:eastAsia="仿宋"/>
          <w:sz w:val="32"/>
          <w:szCs w:val="32"/>
        </w:rPr>
        <w:t>门政府采购预算总额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按有关规定继续使用的资金。</w:t>
      </w:r>
    </w:p>
    <w:p>
      <w:pPr>
        <w:pStyle w:val="3"/>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3"/>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3"/>
        <w:ind w:firstLine="640"/>
        <w:rPr>
          <w:rFonts w:hAnsi="仿宋"/>
          <w:sz w:val="32"/>
          <w:szCs w:val="32"/>
        </w:rPr>
      </w:pPr>
      <w:r>
        <w:rPr>
          <w:rFonts w:hint="eastAsia" w:hAnsi="仿宋"/>
          <w:sz w:val="32"/>
          <w:szCs w:val="32"/>
        </w:rPr>
        <w:t>9.基本支出：指为保障机构正常运转、完成日常工作任务而发生的人员支出和公用支出。</w:t>
      </w:r>
      <w:r>
        <w:rPr>
          <w:rFonts w:hAnsi="仿宋"/>
          <w:sz w:val="32"/>
          <w:szCs w:val="32"/>
        </w:rPr>
        <w:t xml:space="preserve"> </w:t>
      </w:r>
    </w:p>
    <w:p>
      <w:pPr>
        <w:pStyle w:val="3"/>
        <w:ind w:firstLine="640"/>
        <w:rPr>
          <w:rFonts w:hAnsi="仿宋"/>
          <w:sz w:val="32"/>
          <w:szCs w:val="32"/>
        </w:rPr>
      </w:pPr>
      <w:r>
        <w:rPr>
          <w:rFonts w:hint="eastAsia" w:hAnsi="仿宋"/>
          <w:sz w:val="32"/>
          <w:szCs w:val="32"/>
        </w:rPr>
        <w:t>10.项目支出：指在基本支出之外为完成特定行政任务和事业发展目标所发生的支出。</w:t>
      </w:r>
      <w:r>
        <w:rPr>
          <w:rFonts w:hAnsi="仿宋"/>
          <w:sz w:val="32"/>
          <w:szCs w:val="32"/>
        </w:rPr>
        <w:t xml:space="preserve"> </w:t>
      </w:r>
    </w:p>
    <w:p>
      <w:pPr>
        <w:pStyle w:val="3"/>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r>
        <w:rPr>
          <w:rFonts w:hAnsi="仿宋"/>
          <w:sz w:val="32"/>
          <w:szCs w:val="32"/>
        </w:rPr>
        <w:t xml:space="preserve"> </w:t>
      </w:r>
    </w:p>
    <w:p>
      <w:pPr>
        <w:pStyle w:val="3"/>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3000509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 w:name="Palatino Linotype">
    <w:panose1 w:val="02040502050505030304"/>
    <w:charset w:val="00"/>
    <w:family w:val="auto"/>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unhideWhenUsed/>
    <w:uiPriority w:val="1"/>
  </w:style>
  <w:style w:type="paragraph" w:customStyle="1" w:styleId="3">
    <w:name w:val="Defaul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1167</Characters>
  <Lines>9</Lines>
  <Paragraphs>2</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dcterms:modified xsi:type="dcterms:W3CDTF">2022-04-13T01:52:43Z</dcterms:modified>
  <dc:title>连城县老干部局关于2017年部门预算和2016年部门决算相关公开事项的补充说明</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