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6" w:lineRule="auto"/>
        <w:rPr>
          <w:sz w:val="32"/>
          <w:szCs w:val="32"/>
        </w:rPr>
      </w:pPr>
    </w:p>
    <w:p>
      <w:pPr>
        <w:widowControl/>
        <w:spacing w:line="276" w:lineRule="auto"/>
        <w:jc w:val="center"/>
        <w:rPr>
          <w:rFonts w:ascii="方正小标宋简体" w:eastAsia="方正小标宋简体"/>
          <w:sz w:val="84"/>
          <w:szCs w:val="84"/>
        </w:rPr>
      </w:pPr>
    </w:p>
    <w:p>
      <w:pPr>
        <w:widowControl/>
        <w:spacing w:line="276" w:lineRule="auto"/>
        <w:jc w:val="both"/>
        <w:rPr>
          <w:rFonts w:hint="eastAsia" w:ascii="方正小标宋简体" w:eastAsia="方正小标宋简体" w:hAnsiTheme="minorHAnsi" w:cstheme="minorBidi"/>
          <w:sz w:val="84"/>
          <w:szCs w:val="84"/>
          <w:lang w:eastAsia="zh-CN"/>
        </w:rPr>
      </w:pPr>
    </w:p>
    <w:p>
      <w:pPr>
        <w:widowControl/>
        <w:spacing w:line="276" w:lineRule="auto"/>
        <w:jc w:val="center"/>
        <w:rPr>
          <w:rFonts w:hint="eastAsia"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2026</w:t>
      </w:r>
      <w:r>
        <w:rPr>
          <w:rFonts w:ascii="方正小标宋简体" w:eastAsia="方正小标宋简体"/>
          <w:sz w:val="84"/>
          <w:u w:color="auto"/>
        </w:rPr>
        <w:t>年度</w:t>
      </w:r>
    </w:p>
    <w:p>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连城县农业农村局</w:t>
      </w:r>
    </w:p>
    <w:p>
      <w:pPr>
        <w:widowControl/>
        <w:spacing w:line="276" w:lineRule="auto"/>
        <w:jc w:val="center"/>
        <w:rPr>
          <w:rFonts w:hint="eastAsia" w:ascii="方正小标宋简体" w:eastAsia="方正小标宋简体"/>
          <w:sz w:val="84"/>
          <w:szCs w:val="84"/>
        </w:rPr>
      </w:pPr>
      <w:r>
        <w:rPr>
          <w:rFonts w:hint="eastAsia" w:ascii="方正小标宋简体" w:eastAsia="方正小标宋简体" w:hAnsiTheme="minorHAnsi" w:cstheme="minorBidi"/>
          <w:sz w:val="84"/>
          <w:szCs w:val="84"/>
          <w:lang w:val="en-US" w:eastAsia="zh-CN"/>
        </w:rPr>
        <w:t>部门</w:t>
      </w:r>
      <w:r>
        <w:rPr>
          <w:rFonts w:hint="eastAsia" w:ascii="方正小标宋简体" w:eastAsia="方正小标宋简体" w:hAnsiTheme="minorHAnsi" w:cstheme="minorBidi"/>
          <w:sz w:val="84"/>
          <w:szCs w:val="84"/>
          <w:lang w:eastAsia="zh-CN"/>
        </w:rPr>
        <w:t>预算</w:t>
      </w:r>
    </w:p>
    <w:p>
      <w:pPr>
        <w:widowControl/>
        <w:spacing w:line="276" w:lineRule="auto"/>
        <w:rPr>
          <w:rFonts w:ascii="方正小标宋简体" w:eastAsia="方正小标宋简体"/>
          <w:sz w:val="84"/>
          <w:szCs w:val="84"/>
        </w:rPr>
      </w:pPr>
    </w:p>
    <w:p>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cols w:space="720" w:num="1"/>
          <w:docGrid w:type="lines" w:linePitch="312" w:charSpace="0"/>
        </w:sectPr>
      </w:pPr>
    </w:p>
    <w:p>
      <w:pPr>
        <w:autoSpaceDE w:val="0"/>
        <w:autoSpaceDN w:val="0"/>
        <w:jc w:val="left"/>
        <w:rPr>
          <w:rFonts w:hint="eastAsia" w:ascii="方正小标宋简体" w:hAnsi="宋体" w:eastAsia="方正小标宋简体"/>
          <w:b w:val="0"/>
          <w:bCs/>
          <w:sz w:val="44"/>
          <w:szCs w:val="44"/>
        </w:rPr>
      </w:pPr>
    </w:p>
    <w:p>
      <w:pPr>
        <w:autoSpaceDE w:val="0"/>
        <w:autoSpaceDN w:val="0"/>
        <w:jc w:val="center"/>
        <w:rPr>
          <w:rFonts w:ascii="方正小标宋简体" w:hAnsi="宋体" w:eastAsia="方正小标宋简体"/>
          <w:b/>
          <w:sz w:val="44"/>
          <w:szCs w:val="44"/>
        </w:rPr>
      </w:pPr>
      <w:r>
        <w:rPr>
          <w:rFonts w:hint="eastAsia" w:ascii="方正小标宋简体" w:hAnsi="宋体" w:eastAsia="方正小标宋简体"/>
          <w:b w:val="0"/>
          <w:bCs/>
          <w:sz w:val="44"/>
          <w:szCs w:val="44"/>
        </w:rPr>
        <w:t>目</w:t>
      </w:r>
      <w:r>
        <w:rPr>
          <w:rFonts w:hint="eastAsia" w:ascii="方正小标宋简体" w:hAnsi="宋体" w:eastAsia="方正小标宋简体"/>
          <w:b w:val="0"/>
          <w:bCs/>
          <w:sz w:val="44"/>
          <w:szCs w:val="44"/>
          <w:lang w:val="en-US" w:eastAsia="zh-CN"/>
        </w:rPr>
        <w:t xml:space="preserve">  </w:t>
      </w:r>
      <w:r>
        <w:rPr>
          <w:rFonts w:hint="eastAsia" w:ascii="方正小标宋简体" w:hAnsi="宋体" w:eastAsia="方正小标宋简体"/>
          <w:b w:val="0"/>
          <w:bCs/>
          <w:sz w:val="44"/>
          <w:szCs w:val="44"/>
        </w:rPr>
        <w:t>录</w:t>
      </w:r>
    </w:p>
    <w:p/>
    <w:p>
      <w:pPr>
        <w:pStyle w:val="8"/>
        <w:tabs>
          <w:tab w:val="right" w:leader="dot" w:pos="8306"/>
        </w:tabs>
        <w:rPr>
          <w:rFonts w:hint="eastAsia" w:ascii="仿宋" w:hAnsi="仿宋" w:eastAsia="仿宋" w:cs="仿宋"/>
          <w:b/>
          <w:bCs/>
          <w:sz w:val="36"/>
          <w:szCs w:val="36"/>
        </w:rPr>
      </w:pPr>
      <w:r>
        <w:rPr>
          <w:rFonts w:hint="eastAsia"/>
        </w:rPr>
        <w:fldChar w:fldCharType="begin"/>
      </w:r>
      <w:r>
        <w:rPr>
          <w:rFonts w:hint="eastAsia"/>
        </w:rPr>
        <w:instrText xml:space="preserve">TOC \o "1-3" \h \u </w:instrText>
      </w:r>
      <w:r>
        <w:rPr>
          <w:rFonts w:hint="eastAsia"/>
        </w:rPr>
        <w:fldChar w:fldCharType="separate"/>
      </w:r>
      <w:r>
        <w:fldChar w:fldCharType="begin"/>
      </w:r>
      <w:r>
        <w:instrText xml:space="preserve"> HYPERLINK \l "_Toc31788" </w:instrText>
      </w:r>
      <w: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"_Toc4274" </w:instrText>
      </w:r>
      <w:r>
        <w:fldChar w:fldCharType="separate"/>
      </w:r>
      <w:r>
        <w:rPr>
          <w:rFonts w:hint="eastAsia" w:ascii="仿宋" w:hAnsi="仿宋" w:eastAsia="仿宋" w:cs="仿宋"/>
          <w:b/>
          <w:bCs/>
          <w:sz w:val="36"/>
          <w:szCs w:val="36"/>
          <w:lang w:val="en-US" w:eastAsia="zh-CN"/>
        </w:rPr>
        <w:t>部门</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_Toc4274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"_Toc3534" </w:instrText>
      </w:r>
      <w:r>
        <w:fldChar w:fldCharType="separate"/>
      </w:r>
      <w:r>
        <w:rPr>
          <w:rFonts w:hint="eastAsia" w:ascii="仿宋" w:hAnsi="仿宋" w:eastAsia="仿宋" w:cs="仿宋"/>
          <w:sz w:val="36"/>
          <w:szCs w:val="36"/>
          <w:lang w:val="en-US" w:eastAsia="zh-CN"/>
        </w:rPr>
        <w:t>一、部门主要职责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_Toc3534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"_Toc3748" </w:instrText>
      </w:r>
      <w:r>
        <w:fldChar w:fldCharType="separate"/>
      </w:r>
      <w:r>
        <w:rPr>
          <w:rFonts w:hint="eastAsia" w:ascii="仿宋" w:hAnsi="仿宋" w:eastAsia="仿宋" w:cs="仿宋"/>
          <w:sz w:val="36"/>
          <w:szCs w:val="36"/>
          <w:lang w:val="en-US" w:eastAsia="zh-CN"/>
        </w:rPr>
        <w:t>二、部门预算单位构成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_Toc3748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"_Toc27409" </w:instrText>
      </w:r>
      <w:r>
        <w:fldChar w:fldCharType="separate"/>
      </w:r>
      <w:r>
        <w:rPr>
          <w:rFonts w:hint="eastAsia" w:ascii="仿宋" w:hAnsi="仿宋" w:eastAsia="仿宋" w:cs="仿宋"/>
          <w:sz w:val="36"/>
          <w:szCs w:val="36"/>
          <w:lang w:val="en-US" w:eastAsia="zh-CN"/>
        </w:rPr>
        <w:t>三、部门主要工作任务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_Toc27409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rPr>
          <w:rFonts w:hint="eastAsia" w:ascii="仿宋" w:hAnsi="仿宋" w:eastAsia="仿宋" w:cs="仿宋"/>
          <w:b/>
          <w:bCs/>
          <w:sz w:val="36"/>
          <w:szCs w:val="36"/>
        </w:rPr>
      </w:pPr>
      <w:r>
        <w:fldChar w:fldCharType="begin"/>
      </w:r>
      <w:r>
        <w:instrText xml:space="preserve"> HYPERLINK \l "_Toc8877" </w:instrText>
      </w:r>
      <w: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rPr>
        <w:fldChar w:fldCharType="end"/>
      </w:r>
      <w:r>
        <w:fldChar w:fldCharType="begin"/>
      </w:r>
      <w:r>
        <w:instrText xml:space="preserve"> HYPERLINK \l "_Toc6175" </w:instrText>
      </w:r>
      <w:r>
        <w:fldChar w:fldCharType="separate"/>
      </w:r>
      <w:r>
        <w:rPr>
          <w:rFonts w:hint="eastAsia" w:ascii="仿宋" w:hAnsi="仿宋" w:eastAsia="仿宋" w:cs="仿宋"/>
          <w:b/>
          <w:bCs/>
          <w:sz w:val="36"/>
          <w:szCs w:val="36"/>
          <w:lang w:val="en-US" w:eastAsia="zh-CN"/>
        </w:rPr>
        <w:t xml:space="preserve"> 2026</w:t>
      </w:r>
      <w:r>
        <w:rPr>
          <w:rFonts w:hint="eastAsia" w:ascii="仿宋" w:hAnsi="仿宋" w:eastAsia="仿宋" w:cs="仿宋"/>
          <w:b/>
          <w:bCs/>
          <w:sz w:val="36"/>
          <w:szCs w:val="36"/>
        </w:rPr>
        <w:t>年度部门预算表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_Toc6175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8</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"_Toc6700" </w:instrText>
      </w:r>
      <w:r>
        <w:fldChar w:fldCharType="separate"/>
      </w:r>
      <w:r>
        <w:rPr>
          <w:rFonts w:hint="eastAsia" w:ascii="仿宋" w:hAnsi="仿宋" w:eastAsia="仿宋" w:cs="仿宋"/>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_Toc6700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"_Toc1865" </w:instrText>
      </w:r>
      <w: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_Toc1865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"_Toc22230" </w:instrText>
      </w:r>
      <w: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_Toc22230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"_Toc4470" </w:instrText>
      </w:r>
      <w: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_Toc4470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"_Toc23534" </w:instrText>
      </w:r>
      <w: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_Toc23534 \h </w:instrText>
      </w:r>
      <w:r>
        <w:rPr>
          <w:rFonts w:hint="eastAsia" w:ascii="仿宋" w:hAnsi="仿宋" w:eastAsia="仿宋" w:cs="仿宋"/>
          <w:sz w:val="36"/>
          <w:szCs w:val="36"/>
        </w:rPr>
        <w:fldChar w:fldCharType="separate"/>
      </w:r>
      <w:r>
        <w:rPr>
          <w:rFonts w:hint="eastAsia" w:ascii="仿宋" w:hAnsi="仿宋" w:eastAsia="仿宋" w:cs="仿宋"/>
          <w:sz w:val="36"/>
          <w:szCs w:val="36"/>
        </w:rPr>
        <w:t>14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"_Toc27372" </w:instrText>
      </w:r>
      <w: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_Toc27372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"_Toc6768" </w:instrText>
      </w:r>
      <w: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_Toc6768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"_Toc16218" </w:instrText>
      </w:r>
      <w:r>
        <w:fldChar w:fldCharType="separate"/>
      </w:r>
      <w:r>
        <w:rPr>
          <w:rFonts w:hint="eastAsia" w:ascii="仿宋" w:hAnsi="仿宋" w:eastAsia="仿宋" w:cs="仿宋"/>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_Toc16218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"_Toc7014" </w:instrText>
      </w:r>
      <w: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_Toc7014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"_Toc14168" </w:instrText>
      </w:r>
      <w: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_Toc14168 \h </w:instrText>
      </w:r>
      <w:r>
        <w:rPr>
          <w:rFonts w:hint="eastAsia" w:ascii="仿宋" w:hAnsi="仿宋" w:eastAsia="仿宋" w:cs="仿宋"/>
          <w:sz w:val="36"/>
          <w:szCs w:val="36"/>
        </w:rPr>
        <w:fldChar w:fldCharType="separate"/>
      </w:r>
      <w:r>
        <w:rPr>
          <w:rFonts w:hint="eastAsia" w:ascii="仿宋" w:hAnsi="仿宋" w:eastAsia="仿宋" w:cs="仿宋"/>
          <w:sz w:val="36"/>
          <w:szCs w:val="36"/>
        </w:rPr>
        <w:t>21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rPr>
          <w:rFonts w:hint="eastAsia" w:ascii="仿宋" w:hAnsi="仿宋" w:eastAsia="仿宋" w:cs="仿宋"/>
          <w:b/>
          <w:bCs/>
          <w:sz w:val="36"/>
          <w:szCs w:val="36"/>
        </w:rPr>
      </w:pPr>
      <w:r>
        <w:fldChar w:fldCharType="begin"/>
      </w:r>
      <w:r>
        <w:instrText xml:space="preserve"> HYPERLINK \l "_Toc25077" </w:instrText>
      </w:r>
      <w: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t>2026</w:t>
      </w:r>
      <w:r>
        <w:fldChar w:fldCharType="begin"/>
      </w:r>
      <w:r>
        <w:instrText xml:space="preserve"> HYPERLINK \l "_Toc31408" </w:instrText>
      </w:r>
      <w:r>
        <w:fldChar w:fldCharType="separate"/>
      </w:r>
      <w:r>
        <w:rPr>
          <w:rFonts w:hint="eastAsia" w:ascii="仿宋" w:hAnsi="仿宋" w:eastAsia="仿宋" w:cs="仿宋"/>
          <w:b/>
          <w:bCs/>
          <w:sz w:val="36"/>
          <w:szCs w:val="36"/>
        </w:rPr>
        <w:t>年度部门预算情况说明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_Toc31408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22</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"_Toc27382" </w:instrText>
      </w:r>
      <w:r>
        <w:fldChar w:fldCharType="separate"/>
      </w:r>
      <w:r>
        <w:rPr>
          <w:rFonts w:hint="eastAsia" w:ascii="仿宋" w:hAnsi="仿宋" w:eastAsia="仿宋" w:cs="仿宋"/>
          <w:sz w:val="36"/>
          <w:szCs w:val="36"/>
          <w:lang w:val="en-US"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_Toc27382 \h </w:instrText>
      </w:r>
      <w:r>
        <w:rPr>
          <w:rFonts w:hint="eastAsia" w:ascii="仿宋" w:hAnsi="仿宋" w:eastAsia="仿宋" w:cs="仿宋"/>
          <w:sz w:val="36"/>
          <w:szCs w:val="36"/>
        </w:rPr>
        <w:fldChar w:fldCharType="separate"/>
      </w:r>
      <w:r>
        <w:rPr>
          <w:rFonts w:hint="eastAsia" w:ascii="仿宋" w:hAnsi="仿宋" w:eastAsia="仿宋" w:cs="仿宋"/>
          <w:sz w:val="36"/>
          <w:szCs w:val="36"/>
        </w:rPr>
        <w:t>23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"_Toc7729" </w:instrText>
      </w:r>
      <w:r>
        <w:fldChar w:fldCharType="separate"/>
      </w:r>
      <w:r>
        <w:rPr>
          <w:rFonts w:hint="eastAsia" w:ascii="仿宋" w:hAnsi="仿宋" w:eastAsia="仿宋" w:cs="仿宋"/>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_Toc7729 \h </w:instrText>
      </w:r>
      <w:r>
        <w:rPr>
          <w:rFonts w:hint="eastAsia" w:ascii="仿宋" w:hAnsi="仿宋" w:eastAsia="仿宋" w:cs="仿宋"/>
          <w:sz w:val="36"/>
          <w:szCs w:val="36"/>
        </w:rPr>
        <w:fldChar w:fldCharType="separate"/>
      </w:r>
      <w:r>
        <w:rPr>
          <w:rFonts w:hint="eastAsia" w:ascii="仿宋" w:hAnsi="仿宋" w:eastAsia="仿宋" w:cs="仿宋"/>
          <w:sz w:val="36"/>
          <w:szCs w:val="36"/>
        </w:rPr>
        <w:t>23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"_Toc7689" </w:instrText>
      </w:r>
      <w:r>
        <w:fldChar w:fldCharType="separate"/>
      </w:r>
      <w:r>
        <w:rPr>
          <w:rFonts w:hint="eastAsia" w:ascii="仿宋" w:hAnsi="仿宋" w:eastAsia="仿宋" w:cs="仿宋"/>
          <w:sz w:val="36"/>
          <w:szCs w:val="36"/>
          <w:lang w:val="en-US"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_Toc7689 \h </w:instrText>
      </w:r>
      <w:r>
        <w:rPr>
          <w:rFonts w:hint="eastAsia" w:ascii="仿宋" w:hAnsi="仿宋" w:eastAsia="仿宋" w:cs="仿宋"/>
          <w:sz w:val="36"/>
          <w:szCs w:val="36"/>
        </w:rPr>
        <w:fldChar w:fldCharType="separate"/>
      </w:r>
      <w:r>
        <w:rPr>
          <w:rFonts w:hint="eastAsia" w:ascii="仿宋" w:hAnsi="仿宋" w:eastAsia="仿宋" w:cs="仿宋"/>
          <w:sz w:val="36"/>
          <w:szCs w:val="36"/>
        </w:rPr>
        <w:t>24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"_Toc8412" </w:instrText>
      </w:r>
      <w:r>
        <w:fldChar w:fldCharType="separate"/>
      </w:r>
      <w:r>
        <w:rPr>
          <w:rFonts w:hint="eastAsia" w:ascii="仿宋" w:hAnsi="仿宋" w:eastAsia="仿宋" w:cs="仿宋"/>
          <w:sz w:val="36"/>
          <w:szCs w:val="36"/>
          <w:lang w:val="en-US"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_Toc8412 \h </w:instrText>
      </w:r>
      <w:r>
        <w:rPr>
          <w:rFonts w:hint="eastAsia" w:ascii="仿宋" w:hAnsi="仿宋" w:eastAsia="仿宋" w:cs="仿宋"/>
          <w:sz w:val="36"/>
          <w:szCs w:val="36"/>
        </w:rPr>
        <w:fldChar w:fldCharType="separate"/>
      </w:r>
      <w:r>
        <w:rPr>
          <w:rFonts w:hint="eastAsia" w:ascii="仿宋" w:hAnsi="仿宋" w:eastAsia="仿宋" w:cs="仿宋"/>
          <w:sz w:val="36"/>
          <w:szCs w:val="36"/>
        </w:rPr>
        <w:t>24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"_Toc25729" </w:instrText>
      </w:r>
      <w: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_Toc25729 \h </w:instrText>
      </w:r>
      <w:r>
        <w:rPr>
          <w:rFonts w:hint="eastAsia" w:ascii="仿宋" w:hAnsi="仿宋" w:eastAsia="仿宋" w:cs="仿宋"/>
          <w:sz w:val="36"/>
          <w:szCs w:val="36"/>
        </w:rPr>
        <w:fldChar w:fldCharType="separate"/>
      </w:r>
      <w:r>
        <w:rPr>
          <w:rFonts w:hint="eastAsia" w:ascii="仿宋" w:hAnsi="仿宋" w:eastAsia="仿宋" w:cs="仿宋"/>
          <w:sz w:val="36"/>
          <w:szCs w:val="36"/>
        </w:rPr>
        <w:t>24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"_Toc31654" </w:instrText>
      </w:r>
      <w: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_Toc31654 \h </w:instrText>
      </w:r>
      <w:r>
        <w:rPr>
          <w:rFonts w:hint="eastAsia" w:ascii="仿宋" w:hAnsi="仿宋" w:eastAsia="仿宋" w:cs="仿宋"/>
          <w:sz w:val="36"/>
          <w:szCs w:val="36"/>
        </w:rPr>
        <w:fldChar w:fldCharType="separate"/>
      </w:r>
      <w:r>
        <w:rPr>
          <w:rFonts w:hint="eastAsia" w:ascii="仿宋" w:hAnsi="仿宋" w:eastAsia="仿宋" w:cs="仿宋"/>
          <w:sz w:val="36"/>
          <w:szCs w:val="36"/>
        </w:rPr>
        <w:t>25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"_Toc31916" </w:instrText>
      </w:r>
      <w: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_Toc31916 \h </w:instrText>
      </w:r>
      <w:r>
        <w:rPr>
          <w:rFonts w:hint="eastAsia" w:ascii="仿宋" w:hAnsi="仿宋" w:eastAsia="仿宋" w:cs="仿宋"/>
          <w:sz w:val="36"/>
          <w:szCs w:val="36"/>
        </w:rPr>
        <w:fldChar w:fldCharType="separate"/>
      </w:r>
      <w:r>
        <w:rPr>
          <w:rFonts w:hint="eastAsia" w:ascii="仿宋" w:hAnsi="仿宋" w:eastAsia="仿宋" w:cs="仿宋"/>
          <w:sz w:val="36"/>
          <w:szCs w:val="36"/>
        </w:rPr>
        <w:t>27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spacing w:line="360" w:lineRule="auto"/>
        <w:ind w:firstLine="200" w:firstLineChars="100"/>
        <w:rPr>
          <w:rFonts w:hint="eastAsia" w:ascii="仿宋" w:hAnsi="仿宋" w:eastAsia="仿宋" w:cs="仿宋"/>
          <w:sz w:val="36"/>
          <w:szCs w:val="36"/>
        </w:rPr>
      </w:pPr>
      <w:r>
        <w:fldChar w:fldCharType="begin"/>
      </w:r>
      <w:r>
        <w:instrText xml:space="preserve"> HYPERLINK \l "_Toc8233" </w:instrText>
      </w:r>
      <w: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_Toc8233 \h </w:instrText>
      </w:r>
      <w:r>
        <w:rPr>
          <w:rFonts w:hint="eastAsia" w:ascii="仿宋" w:hAnsi="仿宋" w:eastAsia="仿宋" w:cs="仿宋"/>
          <w:sz w:val="36"/>
          <w:szCs w:val="36"/>
        </w:rPr>
        <w:fldChar w:fldCharType="separate"/>
      </w:r>
      <w:r>
        <w:rPr>
          <w:rFonts w:hint="eastAsia" w:ascii="仿宋" w:hAnsi="仿宋" w:eastAsia="仿宋" w:cs="仿宋"/>
          <w:sz w:val="36"/>
          <w:szCs w:val="36"/>
        </w:rPr>
        <w:t>28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8"/>
        <w:tabs>
          <w:tab w:val="right" w:leader="dot" w:pos="8306"/>
        </w:tabs>
      </w:pPr>
      <w:r>
        <w:fldChar w:fldCharType="begin"/>
      </w:r>
      <w:r>
        <w:instrText xml:space="preserve"> HYPERLINK \l "_Toc5173" </w:instrText>
      </w:r>
      <w: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rPr>
        <w:fldChar w:fldCharType="end"/>
      </w:r>
      <w:r>
        <w:rPr>
          <w:rFonts w:hint="eastAsia" w:ascii="仿宋" w:hAnsi="仿宋" w:eastAsia="仿宋" w:cs="仿宋"/>
          <w:b/>
          <w:bCs/>
          <w:sz w:val="36"/>
          <w:szCs w:val="36"/>
          <w:lang w:val="en-US" w:eastAsia="zh-CN"/>
        </w:rPr>
        <w:t xml:space="preserve"> </w:t>
      </w:r>
      <w:r>
        <w:fldChar w:fldCharType="begin"/>
      </w:r>
      <w:r>
        <w:instrText xml:space="preserve"> HYPERLINK \l "_Toc26102" </w:instrText>
      </w:r>
      <w: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_Toc26102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29</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28"/>
        <w:spacing w:line="360" w:lineRule="auto"/>
        <w:rPr>
          <w:rFonts w:ascii="宋体" w:hAnsi="宋体" w:eastAsia="宋体" w:cs="宋体"/>
          <w:kern w:val="0"/>
          <w:sz w:val="36"/>
          <w:szCs w:val="36"/>
        </w:rPr>
      </w:pPr>
      <w:r>
        <w:rPr>
          <w:rFonts w:hint="eastAsia"/>
        </w:rPr>
        <w:fldChar w:fldCharType="end"/>
      </w:r>
    </w:p>
    <w:p>
      <w:pPr>
        <w:pStyle w:val="8"/>
        <w:sectPr>
          <w:footerReference r:id="rId5" w:type="default"/>
          <w:pgSz w:w="11906" w:h="16838"/>
          <w:pgMar w:top="1440" w:right="1800" w:bottom="1440" w:left="1800" w:header="851" w:footer="992" w:gutter="0"/>
          <w:pgNumType w:start="1"/>
          <w:cols w:space="720" w:num="1"/>
          <w:docGrid w:type="lines" w:linePitch="312" w:charSpace="0"/>
        </w:sectPr>
      </w:pPr>
    </w:p>
    <w:p>
      <w:pPr>
        <w:autoSpaceDE w:val="0"/>
        <w:autoSpaceDN w:val="0"/>
        <w:jc w:val="left"/>
        <w:rPr>
          <w:rFonts w:hint="eastAsia" w:asciiTheme="minorEastAsia" w:hAnsiTheme="minorEastAsia" w:eastAsiaTheme="minorEastAsia" w:cstheme="minorEastAsia"/>
          <w:bCs/>
          <w:sz w:val="21"/>
          <w:szCs w:val="21"/>
          <w:lang w:val="en-US" w:eastAsia="zh-CN"/>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both"/>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left"/>
        <w:rPr>
          <w:rFonts w:ascii="黑体" w:hAnsi="黑体" w:eastAsia="黑体" w:cs="Times New Roman"/>
          <w:kern w:val="0"/>
          <w:sz w:val="36"/>
          <w:szCs w:val="36"/>
        </w:rPr>
      </w:pPr>
    </w:p>
    <w:p>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3"/>
          <w:rFonts w:hint="eastAsia" w:ascii="黑体" w:hAnsi="黑体" w:eastAsia="黑体" w:cs="黑体"/>
          <w:b w:val="0"/>
          <w:bCs/>
          <w:kern w:val="44"/>
          <w:sz w:val="56"/>
          <w:szCs w:val="56"/>
          <w:lang w:val="en-US" w:eastAsia="zh-CN"/>
        </w:rPr>
      </w:pPr>
      <w:bookmarkStart w:id="0" w:name="_Toc31788"/>
      <w:r>
        <w:rPr>
          <w:rStyle w:val="13"/>
          <w:rFonts w:hint="eastAsia"/>
          <w:b w:val="0"/>
          <w:bCs/>
          <w:kern w:val="44"/>
          <w:sz w:val="56"/>
          <w:szCs w:val="56"/>
        </w:rPr>
        <w:t>第一部分</w:t>
      </w:r>
    </w:p>
    <w:bookmarkEnd w:id="0"/>
    <w:p>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4274"/>
      <w:r>
        <w:rPr>
          <w:rFonts w:hint="eastAsia" w:ascii="黑体" w:hAnsi="黑体" w:cs="黑体"/>
          <w:b w:val="0"/>
          <w:bCs/>
          <w:kern w:val="44"/>
          <w:sz w:val="56"/>
          <w:szCs w:val="56"/>
          <w:lang w:val="en-US" w:eastAsia="zh-CN"/>
        </w:rPr>
        <w:t>部门</w:t>
      </w:r>
      <w:r>
        <w:rPr>
          <w:rFonts w:hint="eastAsia" w:ascii="黑体" w:hAnsi="黑体" w:eastAsia="黑体" w:cs="黑体"/>
          <w:b w:val="0"/>
          <w:bCs/>
          <w:kern w:val="44"/>
          <w:sz w:val="56"/>
          <w:szCs w:val="56"/>
        </w:rPr>
        <w:t>概况</w:t>
      </w:r>
      <w:bookmarkEnd w:id="1"/>
    </w:p>
    <w:p>
      <w:pPr>
        <w:widowControl/>
        <w:jc w:val="left"/>
        <w:rPr>
          <w:rFonts w:ascii="黑体" w:hAnsi="黑体" w:eastAsia="黑体" w:cs="Times New Roman"/>
          <w:kern w:val="0"/>
          <w:sz w:val="36"/>
          <w:szCs w:val="36"/>
        </w:rPr>
      </w:pPr>
    </w:p>
    <w:p>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start="1"/>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lang w:val="en-US" w:eastAsia="zh-CN"/>
        </w:rPr>
      </w:pPr>
      <w:bookmarkStart w:id="2" w:name="_Toc3534"/>
      <w:r>
        <w:rPr>
          <w:rFonts w:hint="eastAsia"/>
          <w:b w:val="0"/>
          <w:bCs/>
          <w:lang w:val="en-US" w:eastAsia="zh-CN"/>
        </w:rPr>
        <w:t>一、部门主要职责</w:t>
      </w:r>
      <w:bookmarkEnd w:id="2"/>
    </w:p>
    <w:p>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连城县农业农村局</w:t>
      </w:r>
      <w:r>
        <w:rPr>
          <w:rFonts w:ascii="仿宋" w:hAnsi="仿宋" w:eastAsia="仿宋" w:cs="仿宋"/>
          <w:sz w:val="32"/>
          <w:u w:color="auto"/>
        </w:rPr>
        <w:t>部门</w:t>
      </w:r>
      <w:r>
        <w:rPr>
          <w:rFonts w:ascii="仿宋" w:hAnsi="仿宋" w:eastAsia="仿宋" w:cs="仿宋"/>
          <w:sz w:val="32"/>
        </w:rPr>
        <w:t>的主要职责是：</w:t>
      </w:r>
      <w:r>
        <w:rPr>
          <w:rFonts w:hint="eastAsia" w:ascii="仿宋" w:hAnsi="仿宋" w:eastAsia="仿宋" w:cs="仿宋"/>
          <w:sz w:val="32"/>
          <w:lang w:val="en-US" w:eastAsia="zh-CN"/>
        </w:rPr>
        <w:t xml:space="preserve">主管我县农业及农村相关工作。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一）贯彻执行党和国家及省委，省政府、市政府有关农业、农村的法律法规和政策，研究起草并组织实施农业（种植业、畜牧业、渔业、农业机械化、农垦等，下同）和农村经济的地方性政策；参与拟订各项涉农政策；组织、指导农业执法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（二）承担县委农村工作领导小组日常工作；负责了解掌握和监测分析农业、农村经济运行和农业、农村工作情况；开展“三农”重大问题的调研，提出决策意见和建议。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三）负责完善农村经营管理体制；参与拟订农村经济体制改革方案，指导农村土地承包、土地承包经营权流转和土地承包经营纠纷调解仲裁管理工作；指导农民负担监督管理、村民筹资筹劳、农村集体资产和财务管理工作；指导和扶持农村合作经济组织，农民合作社、家庭农场建设与发展。  （四）承担县扶贫开发领导小组的日常工作；研究拟订并组织实施扶贫开发规划、政策；组织落实专项扶贫开发项目的实施；协助做好财政专项扶贫资金的监管；协调开展行业和社会扶贫工作；负责有关扶贫的对外交流与合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五）统筹指导农村工作机制创新和社会主义新农村建设；会同有关部门推进农村社会事业发展，指导农村基层建设和农业农村社会化服务体系建设；会同有关部门研究拟订并指导实施新农村建设、农村小康建设规划和政策措施；会同有关部门推进农业和农村信息化建设，负责农业和农村经</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济信息管理和服务。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六）指导粮食、经济作物，家禽产品、水产品等主要农产品生产，组织落实促进粮食等主要农产品生产的相关政策措施，引导农业产业结构调整和产品品质的改善；按规定承担农业固定资产投资的相关工作，组织扶持农业农村发展的项目申报、农业专项资金的计划安排管理和监督检查。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七）牵头研究起草和指导实施特色现代农业发展规划，推进现代农业示范区等专项建设；拟订并指导实施农业产业化、农产品加工业的发展规划和政策措施，组织实施重点龙头企业及产业化示范基地建设；指导农业机械化发展；会同有关部门指导食品产业的组织实施和项目服务；培育、保护和发展农产品品牌；指导农产品行业协会建设与发展。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八）指导农业安全生产工作，负责检查、督促和指导农业产业的安全生产标准化建设工作，负责种植业、畜牧业、渔业安全生产监督管理；指导农机安全监理工作；指导渔业船舶作业安全生产监管；负责种植业、畜牧业、渔业突发事件应急指挥、处置、救援等综合协调和监督管理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九）负责食用农产品从种植养殖到批发、零售市场或生产加工企业前的质量安全的监督管理，负责兽药、饲料、饲料添加剂和职责范围内的农药、肥料等其他农业投入品质量及使用的监管；依据有关规定负责畜禽屠率监督管理工作；贯彻执行农产品质量安全及相关农业生产资料国家标准，并会同有关部门监督实施；承担农业标准化有关工作；组织、指导农业检验检测体系建设；依法实施农产品质量安全认证与监督管理。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组织、协调农业生产资料市场体系建设；依法实施农作物种子（种苗，不含林木种苗和花卉）、食用菌菌种、草种、种畜禽、水产苗种、农药、兽药、饲料、饲料添加剂的监督管理；负责兽医医疗器械和有关肥料的监管工作。  （十一）拟订动植物疫病防控计划并组织实施，指导动植物防疫和检疫体系建设；组织、监督动植物（不含森林植物、花卉、野生和水生动物）境内的防疫、检疫工作；依法发布疫情并组织扑灭；组织兽医医政、兽药药政药检工作，负责官方兽医、执业善医、乡村兽医管理相关工作；监测、发布农业灾情，组织种子、兽用疫苗、消毒剂等救灾物资储备和调拨，指导紧急救灾和灾后生产恢复。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二）拟订农业科技示范、农技推广的规划、计划和相关政策，指导农技推广体系改革与建设；会同有关部门开展农业科技创新体系和产业技术体系建设，组织实施农业高新技术和应用技术研究、技术引进、农业科技成果转化和技术推广；组织实施新型职业农民培育、村级农民技术员、动物防疫员和农村实用人才培训与管理工作；依法开展农业植物新品种保护和农业转基因生物安全监督管理工作；参与农业系统劳模的评选和组织指导农民体育健身活动。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（十三）组织农业资源区划工作，指导农用地、渔业水域、草地、宜农湿地以及农业生物物种资源的保护和管理；组织实施耕地及基本农田质量保护和改良政策，依法管理、培肥地力。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四）会同有关部门拟订并组织实施农业生态建设规划，指导农村可再生能源综合开发与利用，指导农业生物质产业发展；提出农产品禁止生产区域建议，依法对农业资源保护实施监督管理；根据国务院和省有关文件规定的职责分工负责畜禽养殖污染防治相关工作；牵头管理外来物种（不含林木资源、陆生野生动物）。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（十五）研究拟订农垦发展政策，指导农垦系统深化改革；组织和指导垦区基础设施建设和国有农场农用土地利用工作。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六）负责渔业管理工作，指导水产养殖业发展；组织水生动植物病害防治工作；依法承担生产环节水产品质量安全监督管理工作；指导水产品加工与流通，参与品牌培育和市场体系建设；依法管理与保护渔业环境与渔业资源；组织重要涉渔工程环境影响评价和生态补偿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七）组织开展农业贸易促进和有关农业经济、技术对外交流与合作；拟定我县与台湾农业合作及农业合作实验园区、台湾农民创业园区的有关政策、规划并组织实施；研究拟定农业利用外资政策、规划并组织实施；组织实施山海协作战略，研究拟定山海协作发展规划、政策措施；指导农业外经和创汇农业工作，组织协调农业项目招商引资等工作；指导亚行贷款项目申报和监管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（十八）负责全县农业综合开发工作，编制农业综合开发规划与年度计划，组织开展项目评审、申报以及监督检查及项目竣工项目复查等。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（十九）承办县委、县政府交办的其他事项。 </w:t>
      </w:r>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default" w:ascii="仿宋" w:hAnsi="仿宋" w:eastAsia="仿宋" w:cs="仿宋"/>
          <w:sz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lang w:val="en-US" w:eastAsia="zh-CN"/>
        </w:rPr>
      </w:pPr>
      <w:bookmarkStart w:id="3" w:name="_Toc3748"/>
      <w:r>
        <w:rPr>
          <w:rFonts w:hint="eastAsia"/>
          <w:b w:val="0"/>
          <w:bCs/>
          <w:lang w:val="en-US" w:eastAsia="zh-CN"/>
        </w:rPr>
        <w:t>二、部门预算单位构成</w:t>
      </w:r>
      <w:bookmarkEnd w:id="3"/>
    </w:p>
    <w:p>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ascii="仿宋" w:hAnsi="仿宋" w:eastAsia="仿宋" w:cs="仿宋"/>
          <w:sz w:val="32"/>
        </w:rPr>
      </w:pPr>
      <w:r>
        <w:rPr>
          <w:rFonts w:ascii="仿宋" w:hAnsi="仿宋" w:eastAsia="仿宋" w:cs="仿宋"/>
          <w:sz w:val="32"/>
        </w:rPr>
        <w:t>从预算单位构成看，</w:t>
      </w:r>
      <w:r>
        <w:rPr>
          <w:rFonts w:hint="eastAsia" w:ascii="仿宋" w:hAnsi="仿宋" w:eastAsia="仿宋" w:cs="仿宋_GB2312"/>
          <w:sz w:val="32"/>
          <w:szCs w:val="32"/>
          <w:lang w:val="en-US" w:eastAsia="zh-CN"/>
        </w:rPr>
        <w:t>连城县农业农村局</w:t>
      </w:r>
      <w:r>
        <w:rPr>
          <w:rFonts w:hint="eastAsia" w:ascii="仿宋" w:hAnsi="仿宋" w:eastAsia="仿宋"/>
          <w:sz w:val="32"/>
          <w:szCs w:val="32"/>
          <w:highlight w:val="none"/>
          <w:lang w:val="en-US" w:eastAsia="zh-CN"/>
        </w:rPr>
        <w:t>部门</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个机关行政处（科、股）室及</w:t>
      </w:r>
      <w:r>
        <w:rPr>
          <w:rFonts w:hint="eastAsia" w:ascii="仿宋" w:hAnsi="仿宋" w:eastAsia="仿宋" w:cs="仿宋_GB2312"/>
          <w:sz w:val="32"/>
          <w:szCs w:val="32"/>
          <w:lang w:val="en-US" w:eastAsia="zh-CN"/>
        </w:rPr>
        <w:t>5</w:t>
      </w:r>
      <w:r>
        <w:rPr>
          <w:rFonts w:hint="eastAsia" w:ascii="仿宋" w:hAnsi="仿宋" w:eastAsia="仿宋"/>
          <w:sz w:val="32"/>
          <w:szCs w:val="32"/>
          <w:highlight w:val="none"/>
        </w:rPr>
        <w:t>个</w:t>
      </w:r>
      <w:r>
        <w:rPr>
          <w:rFonts w:hint="eastAsia" w:ascii="仿宋" w:hAnsi="仿宋" w:eastAsia="仿宋"/>
          <w:sz w:val="32"/>
          <w:szCs w:val="32"/>
          <w:highlight w:val="none"/>
          <w:lang w:val="en-US" w:eastAsia="zh-CN"/>
        </w:rPr>
        <w:t>下属单位</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r>
        <w:rPr>
          <w:rFonts w:hint="eastAsia" w:ascii="仿宋" w:hAnsi="仿宋" w:eastAsia="仿宋"/>
          <w:sz w:val="32"/>
          <w:szCs w:val="32"/>
          <w:lang w:eastAsia="zh-CN"/>
        </w:rPr>
        <w:t>：</w:t>
      </w:r>
    </w:p>
    <w:tbl>
      <w:tblPr>
        <w:tblStyle w:val="9"/>
        <w:tblW w:w="8991"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5"/>
        <w:gridCol w:w="4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vAlign w:val="center"/>
          </w:tcPr>
          <w:p>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886" w:type="dxa"/>
            <w:vAlign w:val="center"/>
          </w:tcPr>
          <w:p>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shd w:val="clear" w:color="auto" w:fill="auto"/>
            <w:vAlign w:val="center"/>
          </w:tcPr>
          <w:p>
            <w:pPr>
              <w:jc w:val="center"/>
            </w:pPr>
            <w:r>
              <w:rPr>
                <w:rFonts w:ascii="仿宋" w:hAnsi="仿宋" w:eastAsia="仿宋" w:cs="仿宋"/>
                <w:sz w:val="32"/>
              </w:rPr>
              <w:t>1</w:t>
            </w:r>
          </w:p>
        </w:tc>
        <w:tc>
          <w:tcPr>
            <w:tcW w:w="4886"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连城县农业农村局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shd w:val="clear" w:color="auto" w:fill="auto"/>
            <w:vAlign w:val="center"/>
          </w:tcPr>
          <w:p>
            <w:pPr>
              <w:jc w:val="center"/>
              <w:rPr>
                <w:rFonts w:hint="eastAsia" w:eastAsia="宋体"/>
                <w:lang w:eastAsia="zh-CN"/>
              </w:rPr>
            </w:pPr>
            <w:r>
              <w:rPr>
                <w:rFonts w:hint="eastAsia" w:ascii="仿宋" w:hAnsi="仿宋" w:eastAsia="仿宋" w:cs="仿宋"/>
                <w:sz w:val="32"/>
                <w:lang w:val="en-US" w:eastAsia="zh-CN"/>
              </w:rPr>
              <w:t>2</w:t>
            </w:r>
          </w:p>
        </w:tc>
        <w:tc>
          <w:tcPr>
            <w:tcW w:w="4886"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连城县农业机械推广站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shd w:val="clear" w:color="auto" w:fill="auto"/>
            <w:vAlign w:val="center"/>
          </w:tcPr>
          <w:p>
            <w:pPr>
              <w:jc w:val="center"/>
              <w:rPr>
                <w:rFonts w:hint="eastAsia" w:eastAsia="宋体"/>
                <w:lang w:eastAsia="zh-CN"/>
              </w:rPr>
            </w:pPr>
            <w:r>
              <w:rPr>
                <w:rFonts w:hint="eastAsia" w:ascii="仿宋" w:hAnsi="仿宋" w:eastAsia="仿宋" w:cs="仿宋"/>
                <w:sz w:val="32"/>
                <w:lang w:val="en-US" w:eastAsia="zh-CN"/>
              </w:rPr>
              <w:t>3</w:t>
            </w:r>
          </w:p>
        </w:tc>
        <w:tc>
          <w:tcPr>
            <w:tcW w:w="4886"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连城县良种繁殖场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shd w:val="clear" w:color="auto" w:fill="auto"/>
            <w:vAlign w:val="center"/>
          </w:tcPr>
          <w:p>
            <w:pPr>
              <w:jc w:val="center"/>
              <w:rPr>
                <w:rFonts w:hint="eastAsia" w:eastAsia="宋体"/>
                <w:lang w:eastAsia="zh-CN"/>
              </w:rPr>
            </w:pPr>
            <w:r>
              <w:rPr>
                <w:rFonts w:hint="eastAsia" w:ascii="仿宋" w:hAnsi="仿宋" w:eastAsia="仿宋" w:cs="仿宋"/>
                <w:sz w:val="32"/>
                <w:lang w:val="en-US" w:eastAsia="zh-CN"/>
              </w:rPr>
              <w:t>4</w:t>
            </w:r>
          </w:p>
        </w:tc>
        <w:tc>
          <w:tcPr>
            <w:tcW w:w="4886"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连城白鸭研究所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shd w:val="clear" w:color="auto" w:fill="auto"/>
            <w:vAlign w:val="center"/>
          </w:tcPr>
          <w:p>
            <w:pPr>
              <w:jc w:val="center"/>
              <w:rPr>
                <w:rFonts w:hint="eastAsia" w:eastAsia="宋体"/>
                <w:lang w:eastAsia="zh-CN"/>
              </w:rPr>
            </w:pPr>
            <w:r>
              <w:rPr>
                <w:rFonts w:hint="eastAsia" w:ascii="仿宋" w:hAnsi="仿宋" w:eastAsia="仿宋" w:cs="仿宋"/>
                <w:sz w:val="32"/>
                <w:lang w:val="en-US" w:eastAsia="zh-CN"/>
              </w:rPr>
              <w:t>5</w:t>
            </w:r>
          </w:p>
        </w:tc>
        <w:tc>
          <w:tcPr>
            <w:tcW w:w="4886"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连城县农业区划委员会办公室</w:t>
            </w:r>
          </w:p>
        </w:tc>
      </w:tr>
    </w:tbl>
    <w:p>
      <w:pPr>
        <w:keepNext w:val="0"/>
        <w:keepLines w:val="0"/>
        <w:pageBreakBefore w:val="0"/>
        <w:widowControl w:val="0"/>
        <w:kinsoku/>
        <w:wordWrap/>
        <w:overflowPunct/>
        <w:topLinePunct w:val="0"/>
        <w:autoSpaceDE/>
        <w:autoSpaceDN/>
        <w:bidi w:val="0"/>
        <w:adjustRightInd/>
        <w:snapToGrid/>
        <w:spacing w:line="600" w:lineRule="exact"/>
        <w:ind w:left="600" w:leftChars="300"/>
        <w:textAlignment w:val="auto"/>
        <w:rPr>
          <w:rFonts w:hint="eastAsia" w:ascii="仿宋" w:hAnsi="仿宋" w:eastAsia="仿宋" w:cs="仿宋_GB2312"/>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b w:val="0"/>
          <w:bCs/>
          <w:lang w:val="en-US" w:eastAsia="zh-CN"/>
        </w:rPr>
      </w:pPr>
      <w:bookmarkStart w:id="4" w:name="_Toc27409"/>
      <w:r>
        <w:rPr>
          <w:rFonts w:hint="eastAsia"/>
          <w:b w:val="0"/>
          <w:bCs/>
          <w:lang w:val="en-US" w:eastAsia="zh-CN"/>
        </w:rPr>
        <w:t>三、部门主要工作任务</w:t>
      </w:r>
      <w:bookmarkEnd w:id="4"/>
    </w:p>
    <w:p>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2026</w:t>
      </w:r>
      <w:r>
        <w:rPr>
          <w:rFonts w:ascii="仿宋" w:hAnsi="仿宋" w:eastAsia="仿宋" w:cs="仿宋"/>
          <w:sz w:val="32"/>
          <w:u w:color="auto"/>
        </w:rPr>
        <w:t>年，连城县农业</w:t>
      </w:r>
      <w:bookmarkStart w:id="30" w:name="_GoBack"/>
      <w:bookmarkEnd w:id="30"/>
      <w:r>
        <w:rPr>
          <w:rFonts w:ascii="仿宋" w:hAnsi="仿宋" w:eastAsia="仿宋" w:cs="仿宋"/>
          <w:sz w:val="32"/>
          <w:u w:color="auto"/>
        </w:rPr>
        <w:t>农村局部门主要任务是</w:t>
      </w:r>
      <w:r>
        <w:rPr>
          <w:rFonts w:ascii="仿宋" w:hAnsi="仿宋" w:eastAsia="仿宋"/>
          <w:sz w:val="32"/>
          <w:u w:val="none" w:color="auto"/>
        </w:rPr>
        <w:t>：</w:t>
      </w:r>
      <w:r>
        <w:rPr>
          <w:rFonts w:hint="eastAsia" w:ascii="仿宋" w:hAnsi="仿宋" w:eastAsia="仿宋" w:cs="仿宋"/>
          <w:sz w:val="32"/>
          <w:lang w:val="en-US" w:eastAsia="zh-CN"/>
        </w:rPr>
        <w:t xml:space="preserve">立足我县资源禀赋和发展阶段，科学谋划“三农”工作，大力保障粮食安全，加快发展特色现代农业，深化农业农村改革，建设宜居宣业和美乡村，推动农民增收致富，促进农业全面升级、农村全面进步、农民全面发展，走好具有连城特色的乡村振兴之路，为加快建设农业强国作出连城贡献。围绕上述任务，重点抓好以下工作。围绕上述任务，重点抓好以下工作：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（一）抓好粮食生产。进一步落实粮食安全党政同责，确保完成省下达的粮食生产任务。深入实施“藏粮于地、藏粮于技”，加快高标准农田建设，夯实粮食安全基础。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二）推动特色现代农业高质量发展。持续构建特色现代农业“1172”体系，推动我市农产品品种培优、品质提升、品牌打造和标准化生产。创建一批现代农业产业园、农业产业强镇、“一村一品”专业村，打造优势特色产业集群。积极融入粤港澳大湾区“菜篮子”工程，加强与广州对口合作，大力引进培育龙头企业。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（三）持续巩固拓展脱贫攻坚成果。健全防止返贫动态监测和帮扶机制，加大就业和产业帮扶力度，牢牢守住不发生规模性返贫底线。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（四）持之以恒推进乡村建设。抓好乡村振兴试点示范，持续推进“一县一片区”建设、“两治一拆”专项行动，做好农村建设品质提升工作，建设宜居宣业和美乡村。 </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（五）持续深化农村改革。继续巩固提升农村集体产权制度改革成果，深化宅基地审批管理改革。 </w:t>
      </w:r>
    </w:p>
    <w:p>
      <w:pPr>
        <w:keepNext w:val="0"/>
        <w:keepLines w:val="0"/>
        <w:pageBreakBefore w:val="0"/>
        <w:widowControl w:val="0"/>
        <w:kinsoku/>
        <w:wordWrap/>
        <w:overflowPunct/>
        <w:topLinePunct w:val="0"/>
        <w:autoSpaceDE/>
        <w:autoSpaceDN/>
        <w:bidi w:val="0"/>
        <w:adjustRightInd/>
        <w:snapToGrid/>
        <w:spacing w:line="600" w:lineRule="exact"/>
        <w:ind w:left="608" w:leftChars="304" w:firstLine="0" w:firstLineChars="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sz w:val="32"/>
          <w:szCs w:val="32"/>
          <w:lang w:val="en-US" w:eastAsia="zh-CN"/>
        </w:rPr>
        <w:cr/>
      </w: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3"/>
          <w:rFonts w:hint="eastAsia" w:ascii="黑体" w:hAnsi="黑体" w:eastAsia="黑体" w:cs="黑体"/>
          <w:b w:val="0"/>
          <w:bCs/>
          <w:sz w:val="56"/>
          <w:szCs w:val="56"/>
          <w:lang w:val="en-US" w:eastAsia="zh-CN"/>
        </w:rPr>
      </w:pPr>
      <w:bookmarkStart w:id="5" w:name="_Toc8877"/>
      <w:r>
        <w:rPr>
          <w:rStyle w:val="13"/>
          <w:rFonts w:hint="eastAsia"/>
          <w:b w:val="0"/>
          <w:bCs/>
          <w:sz w:val="56"/>
          <w:szCs w:val="56"/>
        </w:rPr>
        <w:t>第二部分</w:t>
      </w:r>
    </w:p>
    <w:bookmarkEnd w:id="5"/>
    <w:p>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6175"/>
      <w:r>
        <w:rPr>
          <w:rFonts w:hint="eastAsia" w:ascii="黑体" w:hAnsi="黑体" w:cs="黑体"/>
          <w:b w:val="0"/>
          <w:bCs/>
          <w:sz w:val="56"/>
          <w:lang w:eastAsia="zh-CN"/>
        </w:rPr>
        <w:t>2026</w:t>
      </w:r>
      <w:r>
        <w:rPr>
          <w:rFonts w:hint="eastAsia" w:ascii="黑体" w:hAnsi="黑体" w:eastAsia="黑体" w:cs="黑体"/>
          <w:b w:val="0"/>
          <w:bCs/>
          <w:sz w:val="56"/>
        </w:rPr>
        <w:t>年度部门预算表</w:t>
      </w:r>
      <w:bookmarkEnd w:id="6"/>
    </w:p>
    <w:p>
      <w:pPr>
        <w:rPr>
          <w:rFonts w:ascii="黑体" w:hAnsi="黑体" w:eastAsia="黑体"/>
          <w:sz w:val="56"/>
          <w:szCs w:val="36"/>
        </w:rPr>
      </w:pPr>
    </w:p>
    <w:p>
      <w:pPr>
        <w:widowControl/>
        <w:jc w:val="left"/>
        <w:rPr>
          <w:rFonts w:ascii="仿宋" w:hAnsi="仿宋" w:eastAsia="仿宋" w:cs="仿宋_GB2312"/>
          <w:sz w:val="32"/>
          <w:szCs w:val="32"/>
        </w:rPr>
        <w:sectPr>
          <w:pgSz w:w="11906" w:h="16838"/>
          <w:pgMar w:top="1440" w:right="1800" w:bottom="1440" w:left="1800" w:header="851" w:footer="992" w:gutter="0"/>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7" w:name="_Toc6700"/>
      <w:r>
        <w:rPr>
          <w:rFonts w:hint="eastAsia"/>
          <w:b w:val="0"/>
          <w:bCs/>
        </w:rPr>
        <w:t>一、收支预算总表</w:t>
      </w:r>
      <w:bookmarkEnd w:id="7"/>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年度收支预算总表</w:t>
      </w:r>
    </w:p>
    <w:p>
      <w:pPr>
        <w:tabs>
          <w:tab w:val="left" w:pos="7513"/>
        </w:tabs>
        <w:wordWrap w:val="0"/>
        <w:adjustRightInd w:val="0"/>
        <w:snapToGrid w:val="0"/>
        <w:spacing w:line="300" w:lineRule="exact"/>
        <w:jc w:val="right"/>
        <w:rPr>
          <w:rFonts w:hint="eastAsia" w:ascii="宋体" w:hAnsi="宋体" w:eastAsia="宋体" w:cs="宋体"/>
          <w:kern w:val="0"/>
          <w:sz w:val="22"/>
          <w:szCs w:val="24"/>
          <w:lang w:val="en-US" w:eastAsia="zh-CN"/>
        </w:rPr>
      </w:pPr>
      <w:r>
        <w:rPr>
          <w:rFonts w:hint="eastAsia" w:ascii="宋体" w:hAnsi="宋体" w:eastAsia="宋体" w:cs="宋体"/>
          <w:kern w:val="0"/>
          <w:sz w:val="22"/>
          <w:szCs w:val="24"/>
        </w:rPr>
        <w:t>单位：万元</w:t>
      </w:r>
    </w:p>
    <w:tbl>
      <w:tblPr>
        <w:tblStyle w:val="9"/>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2635.28</w:t>
            </w: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202.98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2305.44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118.99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2635.28</w:t>
            </w:r>
          </w:p>
        </w:tc>
        <w:tc>
          <w:tcPr>
            <w:tcW w:w="3239"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2635.28</w:t>
            </w:r>
          </w:p>
        </w:tc>
      </w:tr>
    </w:tbl>
    <w:p>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1865"/>
      <w:r>
        <w:rPr>
          <w:rFonts w:hint="eastAsia"/>
          <w:b w:val="0"/>
          <w:bCs/>
        </w:rPr>
        <w:t>二、收入预算总表</w:t>
      </w:r>
      <w:bookmarkEnd w:id="8"/>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年度收入预算总表</w:t>
      </w:r>
    </w:p>
    <w:p>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3136"/>
        <w:gridCol w:w="1073"/>
        <w:gridCol w:w="1055"/>
        <w:gridCol w:w="936"/>
        <w:gridCol w:w="909"/>
        <w:gridCol w:w="891"/>
        <w:gridCol w:w="782"/>
        <w:gridCol w:w="900"/>
        <w:gridCol w:w="791"/>
        <w:gridCol w:w="909"/>
        <w:gridCol w:w="709"/>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164"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313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1073"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05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3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09"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891"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782"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00"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791"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09"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709" w:type="dxa"/>
            <w:noWrap w:val="0"/>
            <w:vAlign w:val="center"/>
          </w:tcPr>
          <w:p>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18"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00" w:type="dxa"/>
            <w:gridSpan w:val="2"/>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1073"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2635.28</w:t>
            </w:r>
          </w:p>
        </w:tc>
        <w:tc>
          <w:tcPr>
            <w:tcW w:w="105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2635.28</w:t>
            </w:r>
          </w:p>
        </w:tc>
        <w:tc>
          <w:tcPr>
            <w:tcW w:w="936"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09"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891"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782"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00"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791"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09"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709"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18"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208</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社会保障和就业支出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202.98</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202.98</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20805</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行政事业单位养老支出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202.98</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202.98</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2080505</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机关事业单位基本养老保险缴费支出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14.15</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14.15</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2080599</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其他行政事业单位养老支出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188.83</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188.83</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210</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卫生健康支出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7.87</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7.87</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21011</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行政事业单位医疗</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7.87</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7.87</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2101101</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行政单位医疗</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5.51</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5.51</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2101102</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事业单位医疗</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2.36</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2.36</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213</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农林水支出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2305.44</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2305.44</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21301</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农业农村</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2305.44</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2305.44</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2130101</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行政运行</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651.16</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651.16</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2130104</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事业运行</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1452.28</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1452.28</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2130108</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病虫害控制</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122</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122</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2130109</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农产品质量安全</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80</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80</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221</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住房保障支出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118.99</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118.99</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22102</w:t>
            </w:r>
          </w:p>
        </w:tc>
        <w:tc>
          <w:tcPr>
            <w:tcW w:w="313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住房改革支出</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118.99</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118.99</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2210201</w:t>
            </w:r>
          </w:p>
        </w:tc>
        <w:tc>
          <w:tcPr>
            <w:tcW w:w="313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住房公积金</w:t>
            </w:r>
          </w:p>
        </w:tc>
        <w:tc>
          <w:tcPr>
            <w:tcW w:w="1073"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118.99</w:t>
            </w:r>
          </w:p>
        </w:tc>
        <w:tc>
          <w:tcPr>
            <w:tcW w:w="105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118.99</w:t>
            </w:r>
          </w:p>
        </w:tc>
        <w:tc>
          <w:tcPr>
            <w:tcW w:w="936"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8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82"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0"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91"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709"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18"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pPr>
        <w:spacing w:line="600" w:lineRule="exact"/>
        <w:jc w:val="left"/>
        <w:rPr>
          <w:rFonts w:hint="eastAsia" w:ascii="仿宋" w:hAnsi="仿宋" w:eastAsia="仿宋"/>
          <w:sz w:val="32"/>
          <w:szCs w:val="32"/>
          <w:highlight w:val="none"/>
          <w:lang w:val="en-US" w:eastAsia="zh-CN"/>
        </w:rPr>
        <w:sectPr>
          <w:pgSz w:w="16838" w:h="11906" w:orient="landscape"/>
          <w:pgMar w:top="1803" w:right="1440" w:bottom="1803" w:left="1440" w:header="0" w:footer="454"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2230"/>
      <w:r>
        <w:rPr>
          <w:rFonts w:hint="eastAsia"/>
          <w:b w:val="0"/>
          <w:bCs/>
        </w:rPr>
        <w:t>三、支出预算总表</w:t>
      </w:r>
      <w:bookmarkEnd w:id="9"/>
    </w:p>
    <w:p>
      <w:pPr>
        <w:widowControl/>
        <w:jc w:val="center"/>
        <w:rPr>
          <w:rFonts w:hint="eastAsia" w:ascii="黑体" w:hAnsi="黑体" w:eastAsia="黑体" w:cs="黑体"/>
          <w:kern w:val="0"/>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2635.28</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2433.28</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202.00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208</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社会保障和就业支出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202.98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202.98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20805</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行政事业单位养老支出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202.98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202.98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2080505</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机关事业单位基本养老保险缴费支出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14.15</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14.15</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2080599</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其他行政事业单位养老支出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188.83</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188.83</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210</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卫生健康支出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7.87</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7.87</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21011</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行政事业单位医疗</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7.87</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7.87</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2101101</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行政单位医疗</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5.51</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5.51</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2101102</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事业单位医疗</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2.36</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2.36</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213</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农林水支出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2305.44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2103.44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202</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21301</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农业农村</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2305.44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2103.44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202</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2130101</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行政运行</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651.16</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651.16</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2130104</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事业运行</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1452.28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1452.28</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2130108</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病虫害控制</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122</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122</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2130109</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农产品质量安全</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80</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80</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221</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住房保障支出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118.99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118.99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22102</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住房改革支出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118.99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118.99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2210201</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住房公积金</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118.99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118.99</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rPr>
          <w:rFonts w:hint="default" w:ascii="仿宋" w:hAnsi="仿宋" w:eastAsia="仿宋"/>
          <w:sz w:val="32"/>
          <w:szCs w:val="32"/>
          <w:lang w:val="en-US" w:eastAsia="zh-CN"/>
        </w:rPr>
        <w:sectPr>
          <w:pgSz w:w="16838" w:h="11906" w:orient="landscape"/>
          <w:pgMar w:top="1803" w:right="1440" w:bottom="1803" w:left="1440" w:header="0" w:footer="454"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4470"/>
      <w:r>
        <w:rPr>
          <w:rFonts w:hint="eastAsia"/>
          <w:b w:val="0"/>
          <w:bCs/>
        </w:rPr>
        <w:t>四、财政拨款收支预算总表</w:t>
      </w:r>
      <w:bookmarkEnd w:id="10"/>
    </w:p>
    <w:p>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年度财政拨款收支预算总表</w:t>
      </w:r>
    </w:p>
    <w:p>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2635.28</w:t>
            </w: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202.98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2305.44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118.99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2635.28</w:t>
            </w:r>
          </w:p>
        </w:tc>
        <w:tc>
          <w:tcPr>
            <w:tcW w:w="302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2635.28</w:t>
            </w:r>
          </w:p>
        </w:tc>
      </w:tr>
    </w:tbl>
    <w:p>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23534"/>
      <w:r>
        <w:rPr>
          <w:rFonts w:hint="eastAsia"/>
          <w:b w:val="0"/>
          <w:bCs/>
        </w:rPr>
        <w:t>五、一般公共预算拨款支出预算表</w:t>
      </w:r>
      <w:bookmarkEnd w:id="11"/>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年度一般公共预算拨款支出预算表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2635.28</w:t>
            </w:r>
          </w:p>
        </w:tc>
        <w:tc>
          <w:tcPr>
            <w:tcW w:w="132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2433.28</w:t>
            </w:r>
          </w:p>
        </w:tc>
        <w:tc>
          <w:tcPr>
            <w:tcW w:w="1327"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208</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社会保障和就业支出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202.98</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202.98</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20805</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行政事业单位养老支出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202.98</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202.98</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2080505</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机关事业单位基本养老保险缴费支出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14.15</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14.15</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2080599</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其他行政事业单位养老支出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188.83</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188.83</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210</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卫生健康支出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7.87</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7.87</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21011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行政事业单位医疗</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7.87</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7.87</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2101101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行政单位医疗</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5.51</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5.51</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2101102</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事业单位医疗</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2.36</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2.36</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213</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农林水支出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2305.44</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2103.44</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21301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农业农村</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2305.44</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2103.44</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2130101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行政运行</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651.16</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651.16</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2130104</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事业运行</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1452.28</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1452.28</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2130108</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病虫害控制</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122</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2130109</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农产品质量安全</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80</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221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住房保障支出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118.99</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118.99</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22102</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住房改革支出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118.99</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118.99</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2210201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住房公积金</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118.99</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118.99</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bl>
    <w:p>
      <w:pPr>
        <w:tabs>
          <w:tab w:val="left" w:pos="7513"/>
        </w:tabs>
        <w:adjustRightInd w:val="0"/>
        <w:snapToGrid w:val="0"/>
        <w:spacing w:line="600" w:lineRule="exact"/>
        <w:jc w:val="left"/>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27372"/>
      <w:r>
        <w:rPr>
          <w:rFonts w:hint="eastAsia"/>
          <w:b w:val="0"/>
          <w:bCs/>
        </w:rPr>
        <w:t>六、政府性基金预算拨款支出预算表</w:t>
      </w:r>
      <w:bookmarkEnd w:id="12"/>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年度政府性基金预算拨款支出预算表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3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32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rPr>
          <w:rFonts w:hint="eastAsia" w:ascii="仿宋" w:hAnsi="仿宋" w:eastAsia="仿宋" w:cs="仿宋"/>
          <w:sz w:val="32"/>
          <w:lang w:val="en-US" w:eastAsia="zh-CN"/>
        </w:rPr>
      </w:pPr>
      <w:r>
        <w:rPr>
          <w:rFonts w:hint="eastAsia" w:ascii="仿宋" w:hAnsi="仿宋" w:eastAsia="仿宋" w:cs="仿宋"/>
          <w:sz w:val="32"/>
          <w:lang w:val="en-US" w:eastAsia="zh-CN"/>
        </w:rPr>
        <w:t>备注：本部门2026年没有使用政府性基金预算拨款安排的支出。</w:t>
      </w:r>
    </w:p>
    <w:p>
      <w:pPr>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6768"/>
      <w:r>
        <w:rPr>
          <w:rFonts w:hint="eastAsia"/>
          <w:b w:val="0"/>
          <w:bCs/>
        </w:rPr>
        <w:t>七、国有资本经营预算拨款支出预算表</w:t>
      </w:r>
      <w:bookmarkEnd w:id="13"/>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年度国有资本经营预算拨款支出预算表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rPr>
          <w:rFonts w:hint="eastAsia" w:ascii="仿宋" w:hAnsi="仿宋" w:eastAsia="仿宋" w:cs="仿宋"/>
          <w:sz w:val="32"/>
          <w:lang w:val="en-US" w:eastAsia="zh-CN"/>
        </w:rPr>
      </w:pPr>
      <w:r>
        <w:rPr>
          <w:rFonts w:hint="eastAsia" w:ascii="仿宋" w:hAnsi="仿宋" w:eastAsia="仿宋" w:cs="仿宋"/>
          <w:sz w:val="32"/>
          <w:lang w:val="en-US" w:eastAsia="zh-CN"/>
        </w:rPr>
        <w:t>备注：本部门2026年没有使用国有资本经营预算拨款安排的支出。</w:t>
      </w:r>
    </w:p>
    <w:p>
      <w:pPr>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pPr>
        <w:rPr>
          <w:rFonts w:hint="default" w:ascii="仿宋" w:hAnsi="仿宋" w:eastAsia="仿宋"/>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val="0"/>
          <w:bCs/>
          <w:lang w:val="en-US" w:eastAsia="zh-CN"/>
        </w:rPr>
      </w:pPr>
      <w:bookmarkStart w:id="14" w:name="_Toc16218"/>
      <w:r>
        <w:rPr>
          <w:rFonts w:hint="eastAsia"/>
          <w:b w:val="0"/>
          <w:bCs/>
          <w:lang w:val="en-US" w:eastAsia="zh-CN"/>
        </w:rPr>
        <w:t>八、一般公共预算支出经济分类情况表</w:t>
      </w:r>
      <w:bookmarkEnd w:id="14"/>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年度一般公共预算支出经济分类情况表</w:t>
      </w:r>
    </w:p>
    <w:p>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color w:val="000000"/>
          <w:kern w:val="0"/>
          <w:sz w:val="22"/>
          <w:szCs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2635.28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1901.28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394.06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259.94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307</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310</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399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80</w:t>
            </w:r>
          </w:p>
        </w:tc>
      </w:tr>
    </w:tbl>
    <w:p>
      <w:pPr>
        <w:tabs>
          <w:tab w:val="left" w:pos="7513"/>
        </w:tabs>
        <w:adjustRightInd w:val="0"/>
        <w:snapToGrid w:val="0"/>
        <w:spacing w:line="600" w:lineRule="exact"/>
        <w:jc w:val="both"/>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5" w:name="_Toc7014"/>
      <w:r>
        <w:rPr>
          <w:rFonts w:hint="eastAsia"/>
          <w:b w:val="0"/>
          <w:bCs/>
        </w:rPr>
        <w:t>九、一般公共预算基本支出经济分类情况表</w:t>
      </w:r>
      <w:bookmarkEnd w:id="15"/>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年度一般公共预算基本支出经济分类情况表</w:t>
      </w:r>
    </w:p>
    <w:p>
      <w:pPr>
        <w:tabs>
          <w:tab w:val="left" w:pos="7513"/>
        </w:tabs>
        <w:adjustRightInd w:val="0"/>
        <w:snapToGrid w:val="0"/>
        <w:spacing w:line="300" w:lineRule="exact"/>
        <w:jc w:val="right"/>
        <w:rPr>
          <w:rFonts w:hint="eastAsia" w:ascii="仿宋" w:hAnsi="仿宋" w:eastAsia="仿宋"/>
          <w:sz w:val="32"/>
          <w:szCs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2433.28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1901.28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239.73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272.12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153.29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18.77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272.06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219.19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30231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30239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30240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259.94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30919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30921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30922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31021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31022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hint="default" w:ascii="仿宋" w:hAnsi="仿宋" w:eastAsia="仿宋"/>
          <w:sz w:val="32"/>
          <w:szCs w:val="32"/>
          <w:lang w:val="en-US" w:eastAsia="zh-CN"/>
        </w:rPr>
        <w:sectPr>
          <w:pgSz w:w="11906" w:h="16838"/>
          <w:pgMar w:top="1440" w:right="1803" w:bottom="1440" w:left="1803" w:header="851" w:footer="992" w:gutter="0"/>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14168"/>
      <w:r>
        <w:rPr>
          <w:rFonts w:hint="eastAsia"/>
          <w:b w:val="0"/>
          <w:bCs/>
        </w:rPr>
        <w:t>十、一般公共预算“三公”经费支出预算表</w:t>
      </w:r>
      <w:bookmarkEnd w:id="16"/>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年度一般公共预算“三公”经费支出预算表</w:t>
      </w:r>
    </w:p>
    <w:p>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2"/>
        <w:gridCol w:w="4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15.60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w:t>
            </w:r>
          </w:p>
        </w:tc>
      </w:tr>
    </w:tbl>
    <w:p>
      <w:pPr>
        <w:tabs>
          <w:tab w:val="left" w:pos="7513"/>
        </w:tabs>
        <w:adjustRightInd w:val="0"/>
        <w:snapToGrid w:val="0"/>
        <w:spacing w:line="600" w:lineRule="exact"/>
        <w:jc w:val="both"/>
        <w:rPr>
          <w:rFonts w:hint="default" w:ascii="仿宋" w:hAnsi="仿宋" w:eastAsia="仿宋"/>
          <w:sz w:val="32"/>
          <w:szCs w:val="32"/>
          <w:lang w:val="en-US" w:eastAsia="zh-CN"/>
        </w:rPr>
        <w:sectPr>
          <w:pgSz w:w="11906" w:h="16838"/>
          <w:pgMar w:top="1440" w:right="1803" w:bottom="1440" w:left="1803" w:header="851" w:footer="992" w:gutter="0"/>
          <w:cols w:space="720" w:num="1"/>
          <w:docGrid w:type="linesAndChars" w:linePitch="312" w:charSpace="0"/>
        </w:sect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3"/>
          <w:rFonts w:hint="eastAsia" w:ascii="黑体" w:hAnsi="黑体" w:eastAsia="黑体" w:cs="黑体"/>
          <w:b w:val="0"/>
          <w:bCs/>
          <w:sz w:val="56"/>
          <w:szCs w:val="56"/>
          <w:lang w:val="en-US" w:eastAsia="zh-CN"/>
        </w:rPr>
      </w:pPr>
      <w:bookmarkStart w:id="17" w:name="_Toc25077"/>
      <w:r>
        <w:rPr>
          <w:rStyle w:val="13"/>
          <w:rFonts w:hint="eastAsia"/>
          <w:b w:val="0"/>
          <w:bCs/>
          <w:sz w:val="56"/>
          <w:szCs w:val="56"/>
        </w:rPr>
        <w:t>第三部分</w:t>
      </w:r>
    </w:p>
    <w:bookmarkEnd w:id="17"/>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cols w:space="720" w:num="1"/>
          <w:docGrid w:type="lines" w:linePitch="312" w:charSpace="0"/>
        </w:sectPr>
      </w:pPr>
      <w:bookmarkStart w:id="18" w:name="_Toc31408"/>
      <w:r>
        <w:rPr>
          <w:rFonts w:hint="eastAsia" w:ascii="黑体" w:hAnsi="黑体" w:eastAsia="黑体" w:cs="黑体"/>
          <w:b w:val="0"/>
          <w:bCs/>
          <w:sz w:val="56"/>
          <w:szCs w:val="56"/>
          <w:lang w:eastAsia="zh-CN"/>
        </w:rPr>
        <w:t>2026</w:t>
      </w:r>
      <w:r>
        <w:rPr>
          <w:rFonts w:ascii="黑体" w:hAnsi="黑体" w:eastAsia="黑体" w:cs="黑体"/>
          <w:b w:val="0"/>
          <w:bCs/>
          <w:sz w:val="56"/>
          <w:szCs w:val="56"/>
        </w:rPr>
        <w:t>年度部门预算情况说明</w:t>
      </w:r>
      <w:bookmarkEnd w:id="18"/>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default" w:ascii="Calibri" w:hAnsi="Calibri" w:eastAsia="黑体" w:cs="Times New Roman"/>
          <w:b w:val="0"/>
          <w:bCs/>
          <w:kern w:val="44"/>
          <w:sz w:val="32"/>
          <w:szCs w:val="22"/>
          <w:lang w:val="en-US" w:eastAsia="zh-CN" w:bidi="ar-SA"/>
        </w:rPr>
      </w:pPr>
      <w:bookmarkStart w:id="19" w:name="_Toc27382"/>
      <w:r>
        <w:rPr>
          <w:rFonts w:hint="eastAsia" w:cs="Times New Roman"/>
          <w:b w:val="0"/>
          <w:bCs/>
          <w:kern w:val="44"/>
          <w:sz w:val="32"/>
          <w:szCs w:val="22"/>
          <w:lang w:val="en-US" w:eastAsia="zh-CN" w:bidi="ar-SA"/>
        </w:rPr>
        <w:t>一、预算收支总体情况</w:t>
      </w:r>
      <w:bookmarkEnd w:id="19"/>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按照综合预算的原则，部门所有收入和支出均纳入</w:t>
      </w:r>
      <w:r>
        <w:rPr>
          <w:rFonts w:hint="eastAsia" w:ascii="仿宋" w:hAnsi="仿宋" w:eastAsia="仿宋" w:cs="仿宋_GB2312"/>
          <w:sz w:val="32"/>
          <w:szCs w:val="32"/>
          <w:highlight w:val="none"/>
          <w:lang w:val="en-US" w:eastAsia="zh-CN"/>
        </w:rPr>
        <w:t>部门</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eastAsia="zh-CN"/>
        </w:rPr>
        <w:t>，</w:t>
      </w:r>
      <w:r>
        <w:rPr>
          <w:rFonts w:hint="eastAsia" w:ascii="仿宋" w:hAnsi="仿宋" w:eastAsia="仿宋" w:cs="仿宋"/>
          <w:sz w:val="32"/>
          <w:lang w:val="en-US" w:eastAsia="zh-CN"/>
        </w:rPr>
        <w:t>连城县农业农村局</w:t>
      </w:r>
      <w:r>
        <w:rPr>
          <w:rFonts w:ascii="仿宋" w:hAnsi="仿宋" w:eastAsia="仿宋" w:cs="仿宋"/>
          <w:sz w:val="32"/>
          <w:u w:color="auto"/>
        </w:rPr>
        <w:t>部门</w:t>
      </w:r>
      <w:r>
        <w:rPr>
          <w:rFonts w:ascii="仿宋" w:hAnsi="仿宋" w:eastAsia="仿宋" w:cs="仿宋"/>
          <w:sz w:val="32"/>
        </w:rPr>
        <w:t>收入预算为</w:t>
      </w:r>
      <w:r>
        <w:rPr>
          <w:rFonts w:hint="eastAsia" w:ascii="仿宋" w:hAnsi="仿宋" w:eastAsia="仿宋" w:cs="仿宋"/>
          <w:sz w:val="32"/>
        </w:rPr>
        <w:t>2635.28</w:t>
      </w:r>
      <w:r>
        <w:rPr>
          <w:rFonts w:ascii="仿宋" w:hAnsi="仿宋" w:eastAsia="仿宋" w:cs="仿宋"/>
          <w:sz w:val="32"/>
        </w:rPr>
        <w:t>万元，</w:t>
      </w:r>
      <w:r>
        <w:rPr>
          <w:rFonts w:hint="eastAsia" w:ascii="仿宋" w:hAnsi="仿宋" w:eastAsia="仿宋" w:cs="仿宋_GB2312"/>
          <w:sz w:val="32"/>
          <w:szCs w:val="32"/>
        </w:rPr>
        <w:t>比上年减少289.18万元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老农技员补助经费增加。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一般公共预算拨款收入2635.28万元。</w:t>
      </w:r>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2635.28</w:t>
      </w:r>
      <w:r>
        <w:rPr>
          <w:rFonts w:ascii="仿宋" w:hAnsi="仿宋" w:eastAsia="仿宋" w:cs="仿宋"/>
          <w:sz w:val="32"/>
        </w:rPr>
        <w:t>万元，</w:t>
      </w:r>
      <w:r>
        <w:rPr>
          <w:rFonts w:hint="eastAsia" w:ascii="仿宋" w:hAnsi="仿宋" w:eastAsia="仿宋" w:cs="仿宋"/>
          <w:sz w:val="32"/>
          <w:lang w:val="en-US" w:eastAsia="zh-CN"/>
        </w:rPr>
        <w:t>比上年减少289.18万元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hint="eastAsia" w:ascii="仿宋" w:hAnsi="仿宋" w:eastAsia="仿宋" w:cs="仿宋_GB2312"/>
          <w:sz w:val="32"/>
          <w:szCs w:val="32"/>
          <w:lang w:val="en-US" w:eastAsia="zh-CN"/>
        </w:rPr>
        <w:t>老农技员补助经费支出增加。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基本支出2433.28万元、项目支出202.00万元。</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default"/>
          <w:b w:val="0"/>
          <w:bCs/>
          <w:lang w:val="en-US" w:eastAsia="zh-CN"/>
        </w:rPr>
      </w:pPr>
      <w:bookmarkStart w:id="20" w:name="_Toc7729"/>
      <w:r>
        <w:rPr>
          <w:rFonts w:hint="eastAsia"/>
          <w:b w:val="0"/>
          <w:bCs/>
          <w:lang w:val="en-US" w:eastAsia="zh-CN"/>
        </w:rPr>
        <w:t>二、一般公共预算拨款支出情况</w:t>
      </w:r>
      <w:bookmarkEnd w:id="20"/>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2635.28</w:t>
      </w:r>
      <w:r>
        <w:rPr>
          <w:rFonts w:ascii="仿宋" w:hAnsi="仿宋" w:eastAsia="仿宋" w:cs="仿宋"/>
          <w:sz w:val="32"/>
          <w:u w:val="none" w:color="auto"/>
        </w:rPr>
        <w:t>万元，</w:t>
      </w:r>
      <w:r>
        <w:rPr>
          <w:rFonts w:hint="eastAsia" w:ascii="仿宋" w:hAnsi="仿宋" w:eastAsia="仿宋" w:cs="仿宋"/>
          <w:sz w:val="32"/>
          <w:lang w:val="en-US" w:eastAsia="zh-CN"/>
        </w:rPr>
        <w:t>比上年减少289.18万元，降低9.89%</w:t>
      </w:r>
      <w:r>
        <w:rPr>
          <w:rFonts w:ascii="仿宋" w:hAnsi="仿宋" w:eastAsia="仿宋" w:cs="仿宋"/>
          <w:sz w:val="32"/>
          <w:u w:val="none" w:color="auto"/>
        </w:rPr>
        <w:t>，主要原因是：</w:t>
      </w:r>
      <w:r>
        <w:rPr>
          <w:rFonts w:hint="eastAsia" w:ascii="仿宋" w:hAnsi="仿宋" w:eastAsia="仿宋" w:cs="仿宋"/>
          <w:sz w:val="32"/>
          <w:lang w:val="en-US" w:eastAsia="zh-CN"/>
        </w:rPr>
        <w:t>老农技员补助经费增加</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公用经费</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人员工资福利</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ascii="仿宋" w:hAnsi="仿宋" w:eastAsia="仿宋" w:cs="仿宋"/>
          <w:sz w:val="32"/>
        </w:rPr>
        <w:t>（一） 2080505-机关事业单位基本养老保险缴费支出14.15万元。主要用于行政事业人员养老缴费支出。</w:t>
      </w:r>
      <w:r>
        <w:rPr>
          <w:rFonts w:ascii="仿宋" w:hAnsi="仿宋" w:eastAsia="仿宋" w:cs="仿宋"/>
          <w:sz w:val="32"/>
        </w:rPr>
        <w:br w:type="textWrapping"/>
      </w:r>
      <w:r>
        <w:rPr>
          <w:rFonts w:ascii="仿宋" w:hAnsi="仿宋" w:eastAsia="仿宋" w:cs="仿宋"/>
          <w:sz w:val="32"/>
        </w:rPr>
        <w:t xml:space="preserve">    （二） 2080599-其他行政事业单位养老支出188.83万元。主要用于行政事业人员养老支出。</w:t>
      </w:r>
      <w:r>
        <w:rPr>
          <w:rFonts w:ascii="仿宋" w:hAnsi="仿宋" w:eastAsia="仿宋" w:cs="仿宋"/>
          <w:sz w:val="32"/>
        </w:rPr>
        <w:br w:type="textWrapping"/>
      </w:r>
      <w:r>
        <w:rPr>
          <w:rFonts w:ascii="仿宋" w:hAnsi="仿宋" w:eastAsia="仿宋" w:cs="仿宋"/>
          <w:sz w:val="32"/>
        </w:rPr>
        <w:t xml:space="preserve">    （三） 2101101-行政单位医疗5.51万元。主要用于行政人员医疗保险缴费支出。</w:t>
      </w:r>
      <w:r>
        <w:rPr>
          <w:rFonts w:ascii="仿宋" w:hAnsi="仿宋" w:eastAsia="仿宋" w:cs="仿宋"/>
          <w:sz w:val="32"/>
        </w:rPr>
        <w:br w:type="textWrapping"/>
      </w:r>
      <w:r>
        <w:rPr>
          <w:rFonts w:ascii="仿宋" w:hAnsi="仿宋" w:eastAsia="仿宋" w:cs="仿宋"/>
          <w:sz w:val="32"/>
        </w:rPr>
        <w:t xml:space="preserve">    （四） 2101102-事业单位医疗2.36万元。主要用于事业人员医疗保险缴费支出。</w:t>
      </w:r>
      <w:r>
        <w:rPr>
          <w:rFonts w:ascii="仿宋" w:hAnsi="仿宋" w:eastAsia="仿宋" w:cs="仿宋"/>
          <w:sz w:val="32"/>
        </w:rPr>
        <w:br w:type="textWrapping"/>
      </w:r>
      <w:r>
        <w:rPr>
          <w:rFonts w:ascii="仿宋" w:hAnsi="仿宋" w:eastAsia="仿宋" w:cs="仿宋"/>
          <w:sz w:val="32"/>
        </w:rPr>
        <w:t xml:space="preserve">    （五） 2130101-行政运行651.16万元。主要用于人员工资支出。</w:t>
      </w:r>
      <w:r>
        <w:rPr>
          <w:rFonts w:ascii="仿宋" w:hAnsi="仿宋" w:eastAsia="仿宋" w:cs="仿宋"/>
          <w:sz w:val="32"/>
        </w:rPr>
        <w:br w:type="textWrapping"/>
      </w:r>
      <w:r>
        <w:rPr>
          <w:rFonts w:ascii="仿宋" w:hAnsi="仿宋" w:eastAsia="仿宋" w:cs="仿宋"/>
          <w:sz w:val="32"/>
        </w:rPr>
        <w:t xml:space="preserve">    （六） 2130104-事业运行1452.28万元。主要用于单位公用支出和工资福利支出。</w:t>
      </w:r>
      <w:r>
        <w:rPr>
          <w:rFonts w:ascii="仿宋" w:hAnsi="仿宋" w:eastAsia="仿宋" w:cs="仿宋"/>
          <w:sz w:val="32"/>
        </w:rPr>
        <w:br w:type="textWrapping"/>
      </w:r>
      <w:r>
        <w:rPr>
          <w:rFonts w:ascii="仿宋" w:hAnsi="仿宋" w:eastAsia="仿宋" w:cs="仿宋"/>
          <w:sz w:val="32"/>
        </w:rPr>
        <w:t xml:space="preserve">    （七） 2130108-病虫害控制122.00万元。主要用于动物防疫补助、农作物病虫害监测、防控试验示范补助等支出。</w:t>
      </w:r>
      <w:r>
        <w:rPr>
          <w:rFonts w:ascii="仿宋" w:hAnsi="仿宋" w:eastAsia="仿宋" w:cs="仿宋"/>
          <w:sz w:val="32"/>
        </w:rPr>
        <w:br w:type="textWrapping"/>
      </w:r>
      <w:r>
        <w:rPr>
          <w:rFonts w:ascii="仿宋" w:hAnsi="仿宋" w:eastAsia="仿宋" w:cs="仿宋"/>
          <w:sz w:val="32"/>
        </w:rPr>
        <w:t xml:space="preserve">    （八） 2130109-农产品质量安全80.00万元。主要用于农产品(种植业）质量安全等支出。</w:t>
      </w:r>
      <w:r>
        <w:rPr>
          <w:rFonts w:ascii="仿宋" w:hAnsi="仿宋" w:eastAsia="仿宋" w:cs="仿宋"/>
          <w:sz w:val="32"/>
        </w:rPr>
        <w:br w:type="textWrapping"/>
      </w:r>
      <w:r>
        <w:rPr>
          <w:rFonts w:ascii="仿宋" w:hAnsi="仿宋" w:eastAsia="仿宋" w:cs="仿宋"/>
          <w:sz w:val="32"/>
        </w:rPr>
        <w:t xml:space="preserve">    （九） 2210201-住房公积金118.99万元。主要用于行政和事业人员住房公积金支出。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b w:val="0"/>
          <w:bCs/>
          <w:lang w:val="en-US" w:eastAsia="zh-CN"/>
        </w:rPr>
      </w:pPr>
      <w:bookmarkStart w:id="21" w:name="_Toc7689"/>
      <w:r>
        <w:rPr>
          <w:rFonts w:hint="eastAsia"/>
          <w:b w:val="0"/>
          <w:bCs/>
          <w:lang w:val="en-US" w:eastAsia="zh-CN"/>
        </w:rPr>
        <w:t>三、政府性基金预算拨款支出情况</w:t>
      </w:r>
      <w:bookmarkEnd w:id="21"/>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本部门2026年度没有使用政府性基金预算拨款安排的支出。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default" w:ascii="Calibri" w:hAnsi="Calibri" w:eastAsia="黑体" w:cs="Times New Roman"/>
          <w:b w:val="0"/>
          <w:bCs/>
          <w:kern w:val="44"/>
          <w:sz w:val="32"/>
          <w:szCs w:val="22"/>
          <w:lang w:val="en-US" w:eastAsia="zh-CN" w:bidi="ar-SA"/>
        </w:rPr>
      </w:pPr>
      <w:bookmarkStart w:id="22" w:name="_Toc8412"/>
      <w:r>
        <w:rPr>
          <w:rFonts w:hint="eastAsia" w:cs="Times New Roman"/>
          <w:b w:val="0"/>
          <w:bCs/>
          <w:kern w:val="44"/>
          <w:sz w:val="32"/>
          <w:szCs w:val="22"/>
          <w:lang w:val="en-US" w:eastAsia="zh-CN" w:bidi="ar-SA"/>
        </w:rPr>
        <w:t>四、国有资本经营预算拨款支出情况</w:t>
      </w:r>
      <w:bookmarkEnd w:id="22"/>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本部门2026年度没有使用国有资本经营预算拨款安排的支出。</w:t>
      </w:r>
    </w:p>
    <w:p>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3" w:name="_Toc25729"/>
      <w:r>
        <w:rPr>
          <w:rFonts w:hint="eastAsia"/>
          <w:b w:val="0"/>
          <w:bCs/>
        </w:rPr>
        <w:t>五、一般公共预算基本支出情况</w:t>
      </w:r>
      <w:bookmarkEnd w:id="23"/>
    </w:p>
    <w:p>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2433.28</w:t>
      </w:r>
      <w:r>
        <w:rPr>
          <w:rFonts w:ascii="仿宋" w:hAnsi="仿宋" w:eastAsia="仿宋" w:cs="仿宋"/>
          <w:sz w:val="32"/>
        </w:rPr>
        <w:t>万元，其中：</w:t>
      </w:r>
    </w:p>
    <w:p>
      <w:pPr>
        <w:keepNext w:val="0"/>
        <w:keepLines w:val="0"/>
        <w:pageBreakBefore w:val="0"/>
        <w:widowControl w:val="0"/>
        <w:numPr>
          <w:ilvl w:val="0"/>
          <w:numId w:val="0"/>
        </w:numPr>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2161.22万元。主要包括：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272.06万元。主要包括：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4" w:name="_Toc31654"/>
      <w:r>
        <w:rPr>
          <w:rFonts w:hint="eastAsia"/>
          <w:b w:val="0"/>
          <w:bCs/>
        </w:rPr>
        <w:t>六、一般公共预算“三公”经费支出情况</w:t>
      </w:r>
      <w:bookmarkEnd w:id="24"/>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kern w:val="0"/>
          <w:sz w:val="28"/>
          <w:szCs w:val="28"/>
        </w:rPr>
      </w:pPr>
      <w:r>
        <w:rPr>
          <w:rFonts w:hint="eastAsia" w:ascii="楷体" w:hAnsi="楷体" w:eastAsia="楷体" w:cs="楷体"/>
          <w:b/>
          <w:bCs/>
          <w:kern w:val="0"/>
          <w:sz w:val="32"/>
          <w:szCs w:val="32"/>
        </w:rPr>
        <w:t>（一）因公出国（境）经费</w:t>
      </w:r>
    </w:p>
    <w:p>
      <w:pPr>
        <w:keepNext w:val="0"/>
        <w:keepLines w:val="0"/>
        <w:pageBreakBefore w:val="0"/>
        <w:widowControl/>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kern w:val="0"/>
          <w:sz w:val="28"/>
          <w:szCs w:val="28"/>
        </w:rPr>
      </w:pPr>
      <w:r>
        <w:rPr>
          <w:rFonts w:hint="eastAsia" w:ascii="楷体" w:hAnsi="楷体" w:eastAsia="楷体" w:cs="楷体"/>
          <w:b/>
          <w:bCs/>
          <w:kern w:val="0"/>
          <w:sz w:val="32"/>
          <w:szCs w:val="32"/>
        </w:rPr>
        <w:t>（二）公务接待费</w:t>
      </w:r>
    </w:p>
    <w:p>
      <w:pPr>
        <w:keepNext w:val="0"/>
        <w:keepLines w:val="0"/>
        <w:pageBreakBefore w:val="0"/>
        <w:widowControl/>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12.6</w:t>
      </w:r>
      <w:r>
        <w:rPr>
          <w:rFonts w:hint="eastAsia" w:ascii="仿宋" w:hAnsi="仿宋" w:eastAsia="仿宋" w:cs="仿宋"/>
          <w:sz w:val="32"/>
          <w:lang w:eastAsia="zh-CN"/>
        </w:rPr>
        <w:t>万元，</w:t>
      </w:r>
      <w:r>
        <w:rPr>
          <w:rFonts w:hint="eastAsia" w:ascii="仿宋" w:hAnsi="仿宋" w:eastAsia="仿宋" w:cs="仿宋"/>
          <w:sz w:val="32"/>
          <w:lang w:val="en-US" w:eastAsia="zh-CN"/>
        </w:rPr>
        <w:t>比上年增加1.05万元，增长9.09%</w:t>
      </w:r>
      <w:r>
        <w:rPr>
          <w:rFonts w:hint="eastAsia" w:ascii="仿宋" w:hAnsi="仿宋" w:eastAsia="仿宋" w:cs="仿宋"/>
          <w:sz w:val="32"/>
        </w:rPr>
        <w:t>。主要原因是</w:t>
      </w:r>
      <w:r>
        <w:rPr>
          <w:rFonts w:hint="eastAsia" w:ascii="仿宋" w:hAnsi="仿宋" w:eastAsia="仿宋" w:cs="仿宋"/>
          <w:sz w:val="32"/>
          <w:lang w:eastAsia="zh-CN"/>
        </w:rPr>
        <w:t>：</w:t>
      </w:r>
      <w:r>
        <w:rPr>
          <w:rFonts w:hint="eastAsia" w:ascii="仿宋" w:hAnsi="仿宋" w:eastAsia="仿宋" w:cs="仿宋"/>
          <w:sz w:val="32"/>
          <w:lang w:val="en-US" w:eastAsia="zh-CN"/>
        </w:rPr>
        <w:t xml:space="preserve">根据《预算管理一体化规范》对 2026年预算单位进行细化，单位结构相应调整，支出从原单位分离出来，因此出现数据变动较大的情况。 </w:t>
      </w:r>
      <w:r>
        <w:rPr>
          <w:rFonts w:hint="eastAsia" w:ascii="仿宋" w:hAnsi="仿宋" w:eastAsia="仿宋" w:cs="仿宋"/>
          <w:sz w:val="32"/>
          <w:lang w:val="en-US" w:eastAsia="zh-CN"/>
        </w:rPr>
        <w:cr/>
      </w:r>
    </w:p>
    <w:p>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kern w:val="0"/>
          <w:sz w:val="28"/>
          <w:szCs w:val="28"/>
        </w:rPr>
      </w:pPr>
      <w:r>
        <w:rPr>
          <w:rFonts w:hint="eastAsia" w:ascii="楷体" w:hAnsi="楷体" w:eastAsia="楷体" w:cs="楷体"/>
          <w:b/>
          <w:bCs/>
          <w:kern w:val="0"/>
          <w:sz w:val="32"/>
          <w:szCs w:val="32"/>
        </w:rPr>
        <w:t>（三）公务用车购置及运行费</w:t>
      </w:r>
    </w:p>
    <w:p>
      <w:pPr>
        <w:keepNext w:val="0"/>
        <w:keepLines w:val="0"/>
        <w:pageBreakBefore w:val="0"/>
        <w:widowControl/>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3</w:t>
      </w:r>
      <w:r>
        <w:rPr>
          <w:rFonts w:ascii="仿宋" w:hAnsi="仿宋" w:eastAsia="仿宋" w:cs="仿宋"/>
          <w:sz w:val="32"/>
        </w:rPr>
        <w:t>万元，其中：公务用车运行费</w:t>
      </w:r>
      <w:r>
        <w:rPr>
          <w:rFonts w:hint="eastAsia" w:ascii="仿宋" w:hAnsi="仿宋" w:eastAsia="仿宋" w:cs="仿宋"/>
          <w:sz w:val="32"/>
          <w:lang w:val="en-US" w:eastAsia="zh-CN"/>
        </w:rPr>
        <w:t>3</w:t>
      </w:r>
      <w:r>
        <w:rPr>
          <w:rFonts w:ascii="仿宋" w:hAnsi="仿宋" w:eastAsia="仿宋" w:cs="仿宋"/>
          <w:sz w:val="32"/>
        </w:rPr>
        <w:t>万元，</w:t>
      </w:r>
      <w:r>
        <w:rPr>
          <w:rFonts w:hint="eastAsia" w:ascii="仿宋" w:hAnsi="仿宋" w:eastAsia="仿宋" w:cs="仿宋"/>
          <w:sz w:val="32"/>
          <w:lang w:val="en-US" w:eastAsia="zh-CN"/>
        </w:rPr>
        <w:t>比上年减少9.00万元，降低75.00%</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r>
        <w:rPr>
          <w:rFonts w:ascii="仿宋" w:hAnsi="仿宋" w:eastAsia="仿宋" w:cs="仿宋"/>
          <w:sz w:val="32"/>
          <w:u w:color="auto"/>
        </w:rPr>
        <w:t xml:space="preserve">主要原因是： 按过紧日子要求只减不增。 </w:t>
      </w:r>
    </w:p>
    <w:p>
      <w:pPr>
        <w:pStyle w:val="2"/>
        <w:spacing w:before="0" w:after="0"/>
        <w:rPr>
          <w:rFonts w:hint="eastAsia"/>
          <w:b w:val="0"/>
          <w:bCs/>
        </w:rPr>
        <w:sectPr>
          <w:pgSz w:w="11906" w:h="16838"/>
          <w:pgMar w:top="1440" w:right="1803" w:bottom="1440" w:left="1803" w:header="851" w:footer="992" w:gutter="0"/>
          <w:cols w:space="720" w:num="1"/>
          <w:rtlGutter w:val="0"/>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5" w:name="_Toc31916"/>
      <w:r>
        <w:rPr>
          <w:rFonts w:hint="eastAsia"/>
          <w:b w:val="0"/>
          <w:bCs/>
        </w:rPr>
        <w:t>七、预算绩效目标情况</w:t>
      </w:r>
      <w:bookmarkEnd w:id="25"/>
    </w:p>
    <w:p>
      <w:pPr>
        <w:pStyle w:val="4"/>
        <w:spacing w:line="590" w:lineRule="exact"/>
        <w:ind w:firstLine="630" w:firstLineChars="196"/>
        <w:jc w:val="left"/>
        <w:rPr>
          <w:rFonts w:hint="eastAsia" w:ascii="黑体" w:hAnsi="黑体" w:eastAsia="黑体" w:cs="黑体"/>
          <w:b/>
          <w:sz w:val="32"/>
          <w:szCs w:val="32"/>
        </w:rPr>
      </w:pPr>
      <w:r>
        <w:rPr>
          <w:rFonts w:hint="eastAsia" w:ascii="楷体" w:hAnsi="楷体" w:eastAsia="楷体" w:cstheme="minorBidi"/>
          <w:b/>
          <w:sz w:val="32"/>
          <w:szCs w:val="32"/>
          <w:lang w:val="en-US" w:eastAsia="zh-CN" w:bidi="ar-SA"/>
        </w:rPr>
        <w:t>（一）绩效目标设置情况</w:t>
      </w:r>
    </w:p>
    <w:p>
      <w:pPr>
        <w:pStyle w:val="4"/>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hAnsi="仿宋" w:eastAsia="仿宋" w:cs="仿宋"/>
          <w:sz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年，连城县</w:t>
      </w:r>
      <w:r>
        <w:rPr>
          <w:rFonts w:hint="eastAsia" w:ascii="仿宋" w:hAnsi="仿宋" w:eastAsia="仿宋" w:cs="仿宋_GB2312"/>
          <w:kern w:val="0"/>
          <w:sz w:val="32"/>
          <w:szCs w:val="32"/>
          <w:lang w:eastAsia="zh-CN"/>
        </w:rPr>
        <w:t>农业农村局</w:t>
      </w:r>
      <w:r>
        <w:rPr>
          <w:rFonts w:hint="eastAsia" w:ascii="仿宋" w:hAnsi="仿宋" w:eastAsia="仿宋" w:cs="仿宋_GB2312"/>
          <w:kern w:val="0"/>
          <w:sz w:val="32"/>
          <w:szCs w:val="32"/>
        </w:rPr>
        <w:t>按照全面实施预算绩效管理的要求，编制绩效目标并公开</w:t>
      </w:r>
      <w:r>
        <w:rPr>
          <w:rFonts w:hint="eastAsia" w:ascii="仿宋" w:hAnsi="仿宋" w:eastAsia="仿宋" w:cs="仿宋_GB2312"/>
          <w:kern w:val="0"/>
          <w:sz w:val="32"/>
          <w:szCs w:val="32"/>
          <w:lang w:eastAsia="zh-CN"/>
        </w:rPr>
        <w:t>。</w:t>
      </w:r>
    </w:p>
    <w:p>
      <w:pPr>
        <w:pStyle w:val="4"/>
        <w:spacing w:line="590" w:lineRule="exact"/>
        <w:ind w:firstLine="630" w:firstLineChars="196"/>
        <w:jc w:val="left"/>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（二）绩效目标表及说明</w:t>
      </w:r>
    </w:p>
    <w:p>
      <w:pPr>
        <w:pStyle w:val="4"/>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lang w:val="en-US" w:eastAsia="zh-CN"/>
        </w:rPr>
      </w:pPr>
      <w:r>
        <w:rPr>
          <w:rFonts w:hint="eastAsia" w:ascii="仿宋" w:hAnsi="仿宋" w:eastAsia="仿宋" w:cs="仿宋"/>
          <w:b/>
          <w:bCs/>
          <w:sz w:val="32"/>
          <w:szCs w:val="32"/>
          <w:lang w:val="en-US" w:eastAsia="zh-CN"/>
        </w:rPr>
        <w:t>1.项目支出绩效目标表</w:t>
      </w:r>
    </w:p>
    <w:p>
      <w:pPr>
        <w:pStyle w:val="4"/>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_GB2312"/>
          <w:kern w:val="0"/>
          <w:sz w:val="32"/>
          <w:szCs w:val="32"/>
          <w:lang w:eastAsia="zh-CN"/>
        </w:rPr>
      </w:pPr>
      <w:r>
        <w:rPr>
          <w:rFonts w:hint="eastAsia" w:ascii="仿宋" w:hAnsi="仿宋" w:eastAsia="仿宋" w:cs="仿宋_GB2312"/>
          <w:kern w:val="0"/>
          <w:sz w:val="32"/>
          <w:szCs w:val="32"/>
        </w:rPr>
        <w:t>本部门无项目支出绩效目标</w:t>
      </w:r>
      <w:r>
        <w:rPr>
          <w:rFonts w:hint="eastAsia" w:ascii="仿宋" w:hAnsi="仿宋" w:eastAsia="仿宋" w:cs="仿宋_GB2312"/>
          <w:kern w:val="0"/>
          <w:sz w:val="32"/>
          <w:szCs w:val="32"/>
          <w:lang w:eastAsia="zh-CN"/>
        </w:rPr>
        <w:t>。</w:t>
      </w:r>
    </w:p>
    <w:p>
      <w:pPr>
        <w:pStyle w:val="4"/>
        <w:keepNext w:val="0"/>
        <w:keepLines w:val="0"/>
        <w:pageBreakBefore w:val="0"/>
        <w:widowControl w:val="0"/>
        <w:kinsoku/>
        <w:wordWrap w:val="0"/>
        <w:overflowPunct/>
        <w:topLinePunct w:val="0"/>
        <w:autoSpaceDE/>
        <w:autoSpaceDN/>
        <w:bidi w:val="0"/>
        <w:adjustRightInd/>
        <w:snapToGrid/>
        <w:spacing w:line="240" w:lineRule="auto"/>
        <w:ind w:firstLine="643" w:firstLineChars="200"/>
        <w:textAlignment w:val="auto"/>
      </w:pPr>
      <w:r>
        <w:rPr>
          <w:rFonts w:hint="eastAsia" w:ascii="仿宋" w:hAnsi="仿宋" w:eastAsia="仿宋" w:cs="仿宋"/>
          <w:b/>
          <w:bCs/>
          <w:sz w:val="32"/>
          <w:szCs w:val="32"/>
          <w:lang w:val="en-US" w:eastAsia="zh-CN"/>
        </w:rPr>
        <w:t>2.部门整体支出绩效目标表</w:t>
      </w:r>
    </w:p>
    <w:p>
      <w:pPr>
        <w:pStyle w:val="4"/>
        <w:spacing w:line="590" w:lineRule="exact"/>
        <w:ind w:firstLine="640" w:firstLineChars="200"/>
        <w:rPr>
          <w:rFonts w:hint="eastAsia" w:ascii="楷体" w:hAnsi="楷体" w:eastAsia="仿宋" w:cs="楷体"/>
          <w:color w:val="FF0000"/>
          <w:kern w:val="0"/>
          <w:sz w:val="32"/>
          <w:szCs w:val="32"/>
          <w:lang w:eastAsia="zh-CN"/>
        </w:rPr>
      </w:pPr>
      <w:r>
        <w:rPr>
          <w:rFonts w:hint="eastAsia" w:ascii="仿宋" w:hAnsi="仿宋" w:eastAsia="仿宋" w:cs="仿宋_GB2312"/>
          <w:kern w:val="0"/>
          <w:sz w:val="32"/>
          <w:szCs w:val="32"/>
        </w:rPr>
        <w:t>本部门无</w:t>
      </w:r>
      <w:r>
        <w:rPr>
          <w:rFonts w:hint="eastAsia" w:ascii="仿宋" w:hAnsi="仿宋" w:eastAsia="仿宋" w:cs="仿宋_GB2312"/>
          <w:kern w:val="0"/>
          <w:sz w:val="32"/>
          <w:szCs w:val="32"/>
          <w:lang w:eastAsia="zh-CN"/>
        </w:rPr>
        <w:t>整体</w:t>
      </w:r>
      <w:r>
        <w:rPr>
          <w:rFonts w:hint="eastAsia" w:ascii="仿宋" w:hAnsi="仿宋" w:eastAsia="仿宋" w:cs="仿宋_GB2312"/>
          <w:kern w:val="0"/>
          <w:sz w:val="32"/>
          <w:szCs w:val="32"/>
        </w:rPr>
        <w:t>支出绩效目标</w:t>
      </w:r>
      <w:r>
        <w:rPr>
          <w:rFonts w:hint="eastAsia" w:ascii="仿宋" w:hAnsi="仿宋" w:eastAsia="仿宋" w:cs="仿宋_GB2312"/>
          <w:kern w:val="0"/>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ind w:firstLine="643" w:firstLineChars="200"/>
        <w:jc w:val="left"/>
        <w:textAlignment w:val="auto"/>
      </w:pPr>
      <w:r>
        <w:rPr>
          <w:rFonts w:hint="eastAsia" w:ascii="仿宋" w:hAnsi="仿宋" w:eastAsia="仿宋" w:cs="仿宋"/>
          <w:b/>
          <w:bCs/>
          <w:sz w:val="32"/>
          <w:szCs w:val="32"/>
          <w:lang w:val="en-US" w:eastAsia="zh-CN"/>
        </w:rPr>
        <w:t>3.有关情况说明</w:t>
      </w:r>
    </w:p>
    <w:p>
      <w:pPr>
        <w:pStyle w:val="4"/>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rPr>
        <w:t>本部门无其他需要说明的绩效目标</w:t>
      </w:r>
      <w:r>
        <w:rPr>
          <w:rFonts w:hint="eastAsia" w:ascii="仿宋" w:hAnsi="仿宋" w:eastAsia="仿宋" w:cs="仿宋_GB2312"/>
          <w:kern w:val="0"/>
          <w:sz w:val="32"/>
          <w:szCs w:val="32"/>
          <w:lang w:eastAsia="zh-CN"/>
        </w:rPr>
        <w:t>情况。</w:t>
      </w:r>
    </w:p>
    <w:p>
      <w:pPr>
        <w:spacing w:line="590" w:lineRule="exact"/>
        <w:ind w:firstLine="640" w:firstLineChars="200"/>
        <w:rPr>
          <w:rFonts w:hint="eastAsia" w:ascii="仿宋" w:hAnsi="仿宋" w:eastAsia="仿宋" w:cs="仿宋"/>
          <w:sz w:val="32"/>
        </w:rPr>
      </w:pPr>
    </w:p>
    <w:p>
      <w:pPr>
        <w:spacing w:line="590" w:lineRule="exact"/>
        <w:ind w:firstLine="640" w:firstLineChars="200"/>
        <w:rPr>
          <w:rFonts w:ascii="仿宋" w:hAnsi="仿宋" w:eastAsia="仿宋" w:cs="仿宋"/>
          <w:sz w:val="32"/>
        </w:rPr>
        <w:sectPr>
          <w:pgSz w:w="11906" w:h="16838"/>
          <w:pgMar w:top="1440" w:right="1803" w:bottom="1440" w:left="1803" w:header="851" w:footer="992" w:gutter="0"/>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6" w:name="_Toc8233"/>
      <w:r>
        <w:rPr>
          <w:rFonts w:hint="eastAsia"/>
          <w:b w:val="0"/>
          <w:bCs/>
        </w:rPr>
        <w:t>八、其他重要事项说明</w:t>
      </w:r>
      <w:bookmarkEnd w:id="26"/>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sz w:val="28"/>
          <w:szCs w:val="28"/>
          <w:lang w:val="en-US" w:eastAsia="zh-CN"/>
        </w:rPr>
      </w:pPr>
      <w:r>
        <w:rPr>
          <w:rFonts w:hint="eastAsia" w:ascii="楷体" w:hAnsi="楷体" w:eastAsia="楷体" w:cs="楷体"/>
          <w:b/>
          <w:sz w:val="32"/>
          <w:szCs w:val="32"/>
          <w:lang w:val="en-US" w:eastAsia="zh-CN"/>
        </w:rPr>
        <w:t>（一）机关运行经费</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 w:hAnsi="仿宋" w:eastAsia="仿宋" w:cs="仿宋"/>
          <w:b w:val="0"/>
          <w:bCs/>
          <w:sz w:val="32"/>
          <w:szCs w:val="32"/>
          <w:lang w:val="en-US" w:eastAsia="zh-CN"/>
        </w:rPr>
      </w:pPr>
      <w:r>
        <w:rPr>
          <w:rFonts w:ascii="仿宋" w:hAnsi="仿宋" w:eastAsia="仿宋" w:cs="仿宋"/>
          <w:sz w:val="32"/>
          <w:u w:color="auto"/>
        </w:rPr>
        <w:t xml:space="preserve">2026年，连城县农业农村局部门一般公共预算拨款安排的机关运行经费支出160.51万元，比上年增加62.43万元，增长63.65%。主要原因是在职人员基础绩效奖增加。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sz w:val="28"/>
          <w:szCs w:val="28"/>
        </w:rPr>
      </w:pPr>
      <w:r>
        <w:rPr>
          <w:rFonts w:hint="eastAsia" w:ascii="楷体" w:hAnsi="楷体" w:eastAsia="楷体" w:cs="楷体"/>
          <w:b/>
          <w:sz w:val="32"/>
          <w:szCs w:val="32"/>
        </w:rPr>
        <w:t>（</w:t>
      </w:r>
      <w:r>
        <w:rPr>
          <w:rFonts w:hint="eastAsia" w:ascii="楷体" w:hAnsi="楷体" w:eastAsia="楷体" w:cs="楷体"/>
          <w:b/>
          <w:sz w:val="32"/>
          <w:szCs w:val="32"/>
          <w:lang w:val="en-US" w:eastAsia="zh-CN"/>
        </w:rPr>
        <w:t>二）政府采购情况</w:t>
      </w:r>
    </w:p>
    <w:p>
      <w:pPr>
        <w:keepNext w:val="0"/>
        <w:keepLines w:val="0"/>
        <w:pageBreakBefore w:val="0"/>
        <w:widowControl w:val="0"/>
        <w:kinsoku/>
        <w:wordWrap/>
        <w:overflowPunct/>
        <w:topLinePunct/>
        <w:autoSpaceDE/>
        <w:autoSpaceDN/>
        <w:bidi w:val="0"/>
        <w:adjustRightInd/>
        <w:snapToGrid/>
        <w:spacing w:line="600" w:lineRule="exact"/>
        <w:ind w:firstLine="420" w:firstLineChars="0"/>
        <w:textAlignment w:val="auto"/>
        <w:rPr>
          <w:rFonts w:hint="eastAsia" w:ascii="仿宋" w:hAnsi="仿宋" w:eastAsia="仿宋"/>
          <w:kern w:val="0"/>
          <w:sz w:val="32"/>
          <w:szCs w:val="32"/>
        </w:rPr>
      </w:pPr>
      <w:r>
        <w:rPr>
          <w:rFonts w:hint="eastAsia" w:ascii="仿宋" w:hAnsi="仿宋" w:eastAsia="仿宋"/>
          <w:kern w:val="0"/>
          <w:sz w:val="32"/>
          <w:szCs w:val="32"/>
        </w:rPr>
        <w:t>本部门2026年度没有政府采购预算。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截至</w:t>
      </w:r>
      <w:r>
        <w:rPr>
          <w:rFonts w:hint="eastAsia" w:ascii="仿宋" w:hAnsi="仿宋" w:eastAsia="仿宋"/>
          <w:sz w:val="32"/>
          <w:szCs w:val="32"/>
          <w:lang w:eastAsia="zh-CN"/>
        </w:rPr>
        <w:t>2025</w:t>
      </w:r>
      <w:r>
        <w:rPr>
          <w:rFonts w:hint="eastAsia" w:ascii="仿宋" w:hAnsi="仿宋" w:eastAsia="仿宋"/>
          <w:sz w:val="32"/>
          <w:szCs w:val="32"/>
        </w:rPr>
        <w:t>年12月31日，</w:t>
      </w:r>
      <w:r>
        <w:rPr>
          <w:rFonts w:hint="eastAsia" w:ascii="仿宋" w:hAnsi="仿宋" w:eastAsia="仿宋"/>
          <w:sz w:val="32"/>
          <w:szCs w:val="32"/>
          <w:lang w:val="en-US" w:eastAsia="zh-CN"/>
        </w:rPr>
        <w:t>连城县农业农村局</w:t>
      </w:r>
      <w:r>
        <w:rPr>
          <w:rFonts w:ascii="仿宋" w:hAnsi="仿宋" w:eastAsia="仿宋"/>
          <w:sz w:val="32"/>
          <w:u w:color="auto"/>
        </w:rPr>
        <w:t>部门</w:t>
      </w:r>
      <w:r>
        <w:rPr>
          <w:rFonts w:hint="eastAsia" w:ascii="仿宋" w:hAnsi="仿宋" w:eastAsia="仿宋"/>
          <w:sz w:val="32"/>
          <w:szCs w:val="32"/>
        </w:rPr>
        <w:t>共有车辆</w:t>
      </w:r>
      <w:r>
        <w:rPr>
          <w:rFonts w:hint="eastAsia" w:ascii="仿宋" w:hAnsi="仿宋" w:eastAsia="仿宋"/>
          <w:sz w:val="32"/>
          <w:szCs w:val="32"/>
          <w:lang w:val="en-US" w:eastAsia="zh-CN"/>
        </w:rPr>
        <w:t>4</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1</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3</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sz w:val="32"/>
          <w:szCs w:val="32"/>
        </w:rPr>
        <w:t>台（套）。</w:t>
      </w:r>
    </w:p>
    <w:p>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hAnsi="仿宋" w:eastAsia="仿宋"/>
          <w:kern w:val="0"/>
          <w:sz w:val="32"/>
          <w:szCs w:val="32"/>
        </w:rPr>
      </w:pPr>
      <w:r>
        <w:rPr>
          <w:rFonts w:hint="eastAsia" w:ascii="仿宋" w:hAnsi="仿宋" w:eastAsia="仿宋"/>
          <w:sz w:val="32"/>
          <w:szCs w:val="32"/>
          <w:lang w:eastAsia="zh-CN"/>
        </w:rPr>
        <w:t>2026</w:t>
      </w:r>
      <w:r>
        <w:rPr>
          <w:rFonts w:hint="eastAsia" w:ascii="仿宋" w:hAnsi="仿宋" w:eastAsia="仿宋"/>
          <w:sz w:val="32"/>
          <w:szCs w:val="32"/>
        </w:rPr>
        <w:t>年</w:t>
      </w:r>
      <w:r>
        <w:rPr>
          <w:rFonts w:hint="eastAsia" w:ascii="仿宋" w:hAnsi="仿宋" w:eastAsia="仿宋"/>
          <w:sz w:val="32"/>
          <w:szCs w:val="32"/>
          <w:lang w:val="en-US" w:eastAsia="zh-CN"/>
        </w:rPr>
        <w:t>部门</w:t>
      </w:r>
      <w:r>
        <w:rPr>
          <w:rFonts w:hint="eastAsia" w:ascii="仿宋" w:hAnsi="仿宋" w:eastAsia="仿宋"/>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sz w:val="32"/>
          <w:szCs w:val="32"/>
        </w:rPr>
        <w:t>台（套）。</w:t>
      </w:r>
      <w:r>
        <w:br w:type="page"/>
      </w: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7" w:name="_Toc5173"/>
      <w:r>
        <w:rPr>
          <w:rFonts w:hint="eastAsia"/>
          <w:b w:val="0"/>
          <w:bCs/>
          <w:sz w:val="56"/>
          <w:szCs w:val="56"/>
        </w:rPr>
        <w:t>第四部分</w:t>
      </w:r>
      <w:bookmarkEnd w:id="27"/>
    </w:p>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cs="仿宋_GB2312"/>
          <w:kern w:val="0"/>
          <w:sz w:val="32"/>
          <w:szCs w:val="32"/>
        </w:rPr>
        <w:sectPr>
          <w:pgSz w:w="11906" w:h="16838"/>
          <w:pgMar w:top="1440" w:right="1803" w:bottom="1440" w:left="1803" w:header="851" w:footer="992" w:gutter="0"/>
          <w:cols w:space="720" w:num="1"/>
          <w:docGrid w:type="lines" w:linePitch="312" w:charSpace="0"/>
        </w:sectPr>
      </w:pPr>
      <w:bookmarkStart w:id="28" w:name="_Toc26102"/>
      <w:bookmarkStart w:id="29" w:name="_Toc256000027"/>
      <w:r>
        <w:rPr>
          <w:rFonts w:hint="eastAsia" w:ascii="黑体" w:hAnsi="黑体" w:eastAsia="黑体" w:cs="黑体"/>
          <w:b w:val="0"/>
          <w:bCs/>
          <w:sz w:val="56"/>
          <w:szCs w:val="56"/>
          <w:lang w:eastAsia="zh-CN"/>
        </w:rPr>
        <w:t>名词解释</w:t>
      </w:r>
      <w:bookmarkEnd w:id="28"/>
      <w:bookmarkEnd w:id="29"/>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
        <w:spacing w:line="600" w:lineRule="exact"/>
        <w:ind w:firstLine="640"/>
        <w:rPr>
          <w:rFonts w:ascii="宋体" w:hAnsi="宋体" w:eastAsia="宋体"/>
          <w:b/>
          <w:sz w:val="32"/>
          <w:szCs w:val="32"/>
        </w:rPr>
      </w:pPr>
    </w:p>
    <w:sectPr>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31</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31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32FE"/>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8F77DB"/>
    <w:rsid w:val="00902D9B"/>
    <w:rsid w:val="00905D85"/>
    <w:rsid w:val="00911BAB"/>
    <w:rsid w:val="00911C63"/>
    <w:rsid w:val="0091308C"/>
    <w:rsid w:val="009205C2"/>
    <w:rsid w:val="00922BFE"/>
    <w:rsid w:val="00923DF7"/>
    <w:rsid w:val="009246ED"/>
    <w:rsid w:val="00924A2B"/>
    <w:rsid w:val="00925B95"/>
    <w:rsid w:val="00926543"/>
    <w:rsid w:val="009272A8"/>
    <w:rsid w:val="0093161D"/>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586F89"/>
    <w:rsid w:val="017A61F7"/>
    <w:rsid w:val="017D33CF"/>
    <w:rsid w:val="01853498"/>
    <w:rsid w:val="01853B14"/>
    <w:rsid w:val="01C901A1"/>
    <w:rsid w:val="01E4674A"/>
    <w:rsid w:val="0225536F"/>
    <w:rsid w:val="02AD1871"/>
    <w:rsid w:val="02C2228F"/>
    <w:rsid w:val="02CE17E8"/>
    <w:rsid w:val="02E01C88"/>
    <w:rsid w:val="03277D2F"/>
    <w:rsid w:val="032A52B1"/>
    <w:rsid w:val="038A7C9C"/>
    <w:rsid w:val="03914CEF"/>
    <w:rsid w:val="03AD6239"/>
    <w:rsid w:val="03B210F4"/>
    <w:rsid w:val="03B64756"/>
    <w:rsid w:val="03BA0B89"/>
    <w:rsid w:val="03FD4168"/>
    <w:rsid w:val="0406477E"/>
    <w:rsid w:val="042C6D2F"/>
    <w:rsid w:val="042F78E2"/>
    <w:rsid w:val="044147B7"/>
    <w:rsid w:val="04F27A0F"/>
    <w:rsid w:val="04FB7299"/>
    <w:rsid w:val="05230CD1"/>
    <w:rsid w:val="056703FD"/>
    <w:rsid w:val="05926A54"/>
    <w:rsid w:val="05F871F2"/>
    <w:rsid w:val="06345E06"/>
    <w:rsid w:val="064047AA"/>
    <w:rsid w:val="067F3DDE"/>
    <w:rsid w:val="06AA70EB"/>
    <w:rsid w:val="06DF3840"/>
    <w:rsid w:val="06FC31AA"/>
    <w:rsid w:val="071D4AEC"/>
    <w:rsid w:val="07347FFB"/>
    <w:rsid w:val="07B74F40"/>
    <w:rsid w:val="08346591"/>
    <w:rsid w:val="08907C6B"/>
    <w:rsid w:val="08CE42EF"/>
    <w:rsid w:val="08F33D56"/>
    <w:rsid w:val="09062803"/>
    <w:rsid w:val="0A167CBC"/>
    <w:rsid w:val="0A342878"/>
    <w:rsid w:val="0A4C0979"/>
    <w:rsid w:val="0A60366D"/>
    <w:rsid w:val="0A6071C9"/>
    <w:rsid w:val="0A6767AA"/>
    <w:rsid w:val="0A680685"/>
    <w:rsid w:val="0AA90B70"/>
    <w:rsid w:val="0AAF1EFF"/>
    <w:rsid w:val="0ABE0ED6"/>
    <w:rsid w:val="0AD007F3"/>
    <w:rsid w:val="0AD6392F"/>
    <w:rsid w:val="0B626F71"/>
    <w:rsid w:val="0B9C2483"/>
    <w:rsid w:val="0BA77B54"/>
    <w:rsid w:val="0BA80E28"/>
    <w:rsid w:val="0BAB0918"/>
    <w:rsid w:val="0BB27EF8"/>
    <w:rsid w:val="0BD936D7"/>
    <w:rsid w:val="0BFC73C5"/>
    <w:rsid w:val="0C0C0229"/>
    <w:rsid w:val="0C1E74E2"/>
    <w:rsid w:val="0C364685"/>
    <w:rsid w:val="0C51353F"/>
    <w:rsid w:val="0C87314F"/>
    <w:rsid w:val="0C8D4217"/>
    <w:rsid w:val="0C9462C4"/>
    <w:rsid w:val="0CA75583"/>
    <w:rsid w:val="0CD36378"/>
    <w:rsid w:val="0D046532"/>
    <w:rsid w:val="0D291423"/>
    <w:rsid w:val="0DC61A39"/>
    <w:rsid w:val="0DD2695C"/>
    <w:rsid w:val="0DD51C7C"/>
    <w:rsid w:val="0DE13CE3"/>
    <w:rsid w:val="0DEF2DBD"/>
    <w:rsid w:val="0DFB62F5"/>
    <w:rsid w:val="0E1D7BE7"/>
    <w:rsid w:val="0E356072"/>
    <w:rsid w:val="0E356BBF"/>
    <w:rsid w:val="0E362C13"/>
    <w:rsid w:val="0E8325FF"/>
    <w:rsid w:val="0E8B67DF"/>
    <w:rsid w:val="0E910299"/>
    <w:rsid w:val="0E971AE4"/>
    <w:rsid w:val="0E9733D5"/>
    <w:rsid w:val="0EB14497"/>
    <w:rsid w:val="0ECA33B2"/>
    <w:rsid w:val="0ED83C14"/>
    <w:rsid w:val="0EF00AD8"/>
    <w:rsid w:val="0F087E2F"/>
    <w:rsid w:val="0F3D08E1"/>
    <w:rsid w:val="0F492922"/>
    <w:rsid w:val="0F7D6A03"/>
    <w:rsid w:val="0F9F3C1B"/>
    <w:rsid w:val="0FF07241"/>
    <w:rsid w:val="106D0892"/>
    <w:rsid w:val="10707D4D"/>
    <w:rsid w:val="10A813CF"/>
    <w:rsid w:val="10DC1574"/>
    <w:rsid w:val="110F1949"/>
    <w:rsid w:val="11307940"/>
    <w:rsid w:val="1131366D"/>
    <w:rsid w:val="1133418C"/>
    <w:rsid w:val="1143294E"/>
    <w:rsid w:val="11553800"/>
    <w:rsid w:val="11913845"/>
    <w:rsid w:val="11F1104F"/>
    <w:rsid w:val="120D10F9"/>
    <w:rsid w:val="122D652B"/>
    <w:rsid w:val="12307DC9"/>
    <w:rsid w:val="12723B30"/>
    <w:rsid w:val="127A7296"/>
    <w:rsid w:val="128D6FC9"/>
    <w:rsid w:val="128F377D"/>
    <w:rsid w:val="12B06830"/>
    <w:rsid w:val="12C30C3D"/>
    <w:rsid w:val="13253BB0"/>
    <w:rsid w:val="13392190"/>
    <w:rsid w:val="13423688"/>
    <w:rsid w:val="13525ABF"/>
    <w:rsid w:val="13767A5D"/>
    <w:rsid w:val="13CB74DA"/>
    <w:rsid w:val="13EA04A8"/>
    <w:rsid w:val="14302302"/>
    <w:rsid w:val="145F6743"/>
    <w:rsid w:val="14A423A8"/>
    <w:rsid w:val="14C50C9C"/>
    <w:rsid w:val="14CF1B1B"/>
    <w:rsid w:val="14E37374"/>
    <w:rsid w:val="15163405"/>
    <w:rsid w:val="15211C4B"/>
    <w:rsid w:val="156C2EC6"/>
    <w:rsid w:val="15924739"/>
    <w:rsid w:val="159D26C2"/>
    <w:rsid w:val="15A5462A"/>
    <w:rsid w:val="15D44A2E"/>
    <w:rsid w:val="165102AA"/>
    <w:rsid w:val="166811C8"/>
    <w:rsid w:val="166B7621"/>
    <w:rsid w:val="169F551D"/>
    <w:rsid w:val="17C64F6E"/>
    <w:rsid w:val="17EA662E"/>
    <w:rsid w:val="180C0E06"/>
    <w:rsid w:val="1842710A"/>
    <w:rsid w:val="18454FD0"/>
    <w:rsid w:val="18742A75"/>
    <w:rsid w:val="18956BD8"/>
    <w:rsid w:val="18C213AC"/>
    <w:rsid w:val="18D21BDA"/>
    <w:rsid w:val="18FB615B"/>
    <w:rsid w:val="194910F0"/>
    <w:rsid w:val="195645B9"/>
    <w:rsid w:val="19566367"/>
    <w:rsid w:val="19AE61A3"/>
    <w:rsid w:val="19BD5342"/>
    <w:rsid w:val="1A140049"/>
    <w:rsid w:val="1A144DE7"/>
    <w:rsid w:val="1A1C18A7"/>
    <w:rsid w:val="1A383CBF"/>
    <w:rsid w:val="1A5635E6"/>
    <w:rsid w:val="1AFD2812"/>
    <w:rsid w:val="1B041DF3"/>
    <w:rsid w:val="1B1458F5"/>
    <w:rsid w:val="1B171B26"/>
    <w:rsid w:val="1B9211AC"/>
    <w:rsid w:val="1BA15893"/>
    <w:rsid w:val="1BC31CAE"/>
    <w:rsid w:val="1C56667E"/>
    <w:rsid w:val="1C7367CB"/>
    <w:rsid w:val="1C7F75A6"/>
    <w:rsid w:val="1CAC0D1A"/>
    <w:rsid w:val="1D0E3B88"/>
    <w:rsid w:val="1D28001A"/>
    <w:rsid w:val="1D6F3E9B"/>
    <w:rsid w:val="1D954F84"/>
    <w:rsid w:val="1DE429ED"/>
    <w:rsid w:val="1E0760A9"/>
    <w:rsid w:val="1E346727"/>
    <w:rsid w:val="1E82375A"/>
    <w:rsid w:val="1EB37810"/>
    <w:rsid w:val="1EC028CD"/>
    <w:rsid w:val="1EDF295B"/>
    <w:rsid w:val="1EEB59CF"/>
    <w:rsid w:val="1F066139"/>
    <w:rsid w:val="1F2A7F71"/>
    <w:rsid w:val="1F4838AB"/>
    <w:rsid w:val="1F6711E3"/>
    <w:rsid w:val="1F705168"/>
    <w:rsid w:val="1FD07B9A"/>
    <w:rsid w:val="2032136E"/>
    <w:rsid w:val="20592BE1"/>
    <w:rsid w:val="20615610"/>
    <w:rsid w:val="20686980"/>
    <w:rsid w:val="20713A86"/>
    <w:rsid w:val="20B0637C"/>
    <w:rsid w:val="20BE5BD1"/>
    <w:rsid w:val="20C84600"/>
    <w:rsid w:val="213B08E1"/>
    <w:rsid w:val="213C4ADB"/>
    <w:rsid w:val="213D1BBA"/>
    <w:rsid w:val="216A2189"/>
    <w:rsid w:val="218B0B78"/>
    <w:rsid w:val="21D50340"/>
    <w:rsid w:val="21D93944"/>
    <w:rsid w:val="21E806E9"/>
    <w:rsid w:val="222F59A7"/>
    <w:rsid w:val="2237485C"/>
    <w:rsid w:val="225C60FA"/>
    <w:rsid w:val="2264640B"/>
    <w:rsid w:val="22B365D8"/>
    <w:rsid w:val="22C34341"/>
    <w:rsid w:val="237D2742"/>
    <w:rsid w:val="23C6058D"/>
    <w:rsid w:val="247C6BAC"/>
    <w:rsid w:val="24A72708"/>
    <w:rsid w:val="24B85237"/>
    <w:rsid w:val="24C30629"/>
    <w:rsid w:val="24C56B1E"/>
    <w:rsid w:val="24C90335"/>
    <w:rsid w:val="25251116"/>
    <w:rsid w:val="259F425C"/>
    <w:rsid w:val="25BF3725"/>
    <w:rsid w:val="25CD5C03"/>
    <w:rsid w:val="25E305D9"/>
    <w:rsid w:val="25F50CB6"/>
    <w:rsid w:val="261E19ED"/>
    <w:rsid w:val="263121A9"/>
    <w:rsid w:val="263C1196"/>
    <w:rsid w:val="266B71CA"/>
    <w:rsid w:val="26F65F78"/>
    <w:rsid w:val="26F92A28"/>
    <w:rsid w:val="27082C6B"/>
    <w:rsid w:val="274C6FFB"/>
    <w:rsid w:val="277178F6"/>
    <w:rsid w:val="27F5747C"/>
    <w:rsid w:val="280E42B1"/>
    <w:rsid w:val="2863070C"/>
    <w:rsid w:val="286E1380"/>
    <w:rsid w:val="286F545C"/>
    <w:rsid w:val="28B9421C"/>
    <w:rsid w:val="28DA4193"/>
    <w:rsid w:val="28FA3DDB"/>
    <w:rsid w:val="29787C34"/>
    <w:rsid w:val="29B6075C"/>
    <w:rsid w:val="29B81F73"/>
    <w:rsid w:val="29CC3995"/>
    <w:rsid w:val="29E21935"/>
    <w:rsid w:val="2A2E0C3A"/>
    <w:rsid w:val="2A5A558B"/>
    <w:rsid w:val="2A7277D4"/>
    <w:rsid w:val="2AC46EA9"/>
    <w:rsid w:val="2AE92110"/>
    <w:rsid w:val="2B3B74A1"/>
    <w:rsid w:val="2B655DA0"/>
    <w:rsid w:val="2B714350"/>
    <w:rsid w:val="2BA2121F"/>
    <w:rsid w:val="2BBB474F"/>
    <w:rsid w:val="2C1C51EE"/>
    <w:rsid w:val="2C3C128A"/>
    <w:rsid w:val="2C970D19"/>
    <w:rsid w:val="2CBB6F02"/>
    <w:rsid w:val="2CCA6938"/>
    <w:rsid w:val="2CFC7029"/>
    <w:rsid w:val="2D0677AA"/>
    <w:rsid w:val="2D095047"/>
    <w:rsid w:val="2D1C7470"/>
    <w:rsid w:val="2D7C3A6A"/>
    <w:rsid w:val="2D7C5689"/>
    <w:rsid w:val="2D8D7A44"/>
    <w:rsid w:val="2DA03BFD"/>
    <w:rsid w:val="2DCD1F1E"/>
    <w:rsid w:val="2DDB7325"/>
    <w:rsid w:val="2E1B5BCA"/>
    <w:rsid w:val="2E222864"/>
    <w:rsid w:val="2E2B796A"/>
    <w:rsid w:val="2E6C11DA"/>
    <w:rsid w:val="2E7D525B"/>
    <w:rsid w:val="2EA15E7F"/>
    <w:rsid w:val="2EA43368"/>
    <w:rsid w:val="2EF835C5"/>
    <w:rsid w:val="2F1523C9"/>
    <w:rsid w:val="2F1831D3"/>
    <w:rsid w:val="2F367189"/>
    <w:rsid w:val="2F48451B"/>
    <w:rsid w:val="2FA95BB6"/>
    <w:rsid w:val="2FDE12AE"/>
    <w:rsid w:val="30083B8E"/>
    <w:rsid w:val="300A3308"/>
    <w:rsid w:val="30197C97"/>
    <w:rsid w:val="30224D9D"/>
    <w:rsid w:val="307165DF"/>
    <w:rsid w:val="307F5D4C"/>
    <w:rsid w:val="308E41E1"/>
    <w:rsid w:val="30E71600"/>
    <w:rsid w:val="311E5564"/>
    <w:rsid w:val="31450735"/>
    <w:rsid w:val="31523460"/>
    <w:rsid w:val="31630724"/>
    <w:rsid w:val="316B2857"/>
    <w:rsid w:val="31D76F4E"/>
    <w:rsid w:val="320A5AE9"/>
    <w:rsid w:val="321C581F"/>
    <w:rsid w:val="322E4F1A"/>
    <w:rsid w:val="32327209"/>
    <w:rsid w:val="32641351"/>
    <w:rsid w:val="32713375"/>
    <w:rsid w:val="328E3BC4"/>
    <w:rsid w:val="32934C0E"/>
    <w:rsid w:val="32C04804"/>
    <w:rsid w:val="32DE2D20"/>
    <w:rsid w:val="32EC3440"/>
    <w:rsid w:val="330864CC"/>
    <w:rsid w:val="335E75DA"/>
    <w:rsid w:val="338D077F"/>
    <w:rsid w:val="33BE37BC"/>
    <w:rsid w:val="33EF143A"/>
    <w:rsid w:val="33F60CE0"/>
    <w:rsid w:val="341D5FA7"/>
    <w:rsid w:val="342E0945"/>
    <w:rsid w:val="343E7CCC"/>
    <w:rsid w:val="345C0152"/>
    <w:rsid w:val="34757B91"/>
    <w:rsid w:val="348C0A37"/>
    <w:rsid w:val="34B45D01"/>
    <w:rsid w:val="34DA3E98"/>
    <w:rsid w:val="34EB5A9A"/>
    <w:rsid w:val="351115DB"/>
    <w:rsid w:val="3518688A"/>
    <w:rsid w:val="352E50F8"/>
    <w:rsid w:val="353A7E23"/>
    <w:rsid w:val="354958E3"/>
    <w:rsid w:val="3592207D"/>
    <w:rsid w:val="359F69FF"/>
    <w:rsid w:val="35A55DF5"/>
    <w:rsid w:val="35D73F34"/>
    <w:rsid w:val="36127662"/>
    <w:rsid w:val="36266C69"/>
    <w:rsid w:val="36557EB3"/>
    <w:rsid w:val="36A108E4"/>
    <w:rsid w:val="36BB1AA7"/>
    <w:rsid w:val="36CA5847"/>
    <w:rsid w:val="36E17903"/>
    <w:rsid w:val="36EE40C0"/>
    <w:rsid w:val="36EE59D9"/>
    <w:rsid w:val="3720190B"/>
    <w:rsid w:val="374E63E7"/>
    <w:rsid w:val="37503F9E"/>
    <w:rsid w:val="37610540"/>
    <w:rsid w:val="37757EA8"/>
    <w:rsid w:val="37A92C8C"/>
    <w:rsid w:val="37D810B0"/>
    <w:rsid w:val="381551E7"/>
    <w:rsid w:val="3882287D"/>
    <w:rsid w:val="388440AF"/>
    <w:rsid w:val="388A1666"/>
    <w:rsid w:val="3898045B"/>
    <w:rsid w:val="38AF58A5"/>
    <w:rsid w:val="38C33B0E"/>
    <w:rsid w:val="38C40167"/>
    <w:rsid w:val="393B2A2C"/>
    <w:rsid w:val="39A22AAB"/>
    <w:rsid w:val="39A96F8E"/>
    <w:rsid w:val="39BF365D"/>
    <w:rsid w:val="39CA1C09"/>
    <w:rsid w:val="39F33306"/>
    <w:rsid w:val="3A11608D"/>
    <w:rsid w:val="3A156272"/>
    <w:rsid w:val="3A25026D"/>
    <w:rsid w:val="3A7A77C8"/>
    <w:rsid w:val="3A9A748F"/>
    <w:rsid w:val="3AD13648"/>
    <w:rsid w:val="3AF9494C"/>
    <w:rsid w:val="3B003F2D"/>
    <w:rsid w:val="3B131EB2"/>
    <w:rsid w:val="3B712735"/>
    <w:rsid w:val="3B772B5B"/>
    <w:rsid w:val="3B933440"/>
    <w:rsid w:val="3B955086"/>
    <w:rsid w:val="3BA73D0D"/>
    <w:rsid w:val="3BA77CCD"/>
    <w:rsid w:val="3BAF03A5"/>
    <w:rsid w:val="3BBC42F8"/>
    <w:rsid w:val="3BE2452D"/>
    <w:rsid w:val="3BEB0E5C"/>
    <w:rsid w:val="3C2D67DC"/>
    <w:rsid w:val="3C2F320D"/>
    <w:rsid w:val="3C526A0A"/>
    <w:rsid w:val="3C99235D"/>
    <w:rsid w:val="3D0C5168"/>
    <w:rsid w:val="3D235CB1"/>
    <w:rsid w:val="3D780336"/>
    <w:rsid w:val="3D8B75A6"/>
    <w:rsid w:val="3D9D1F07"/>
    <w:rsid w:val="3D9E0548"/>
    <w:rsid w:val="3DC807ED"/>
    <w:rsid w:val="3E0A65B6"/>
    <w:rsid w:val="3E4D4B98"/>
    <w:rsid w:val="3E5C147A"/>
    <w:rsid w:val="3E5D1C81"/>
    <w:rsid w:val="3E6F5651"/>
    <w:rsid w:val="3E8D5AD7"/>
    <w:rsid w:val="3F4A7E6C"/>
    <w:rsid w:val="3FB63A51"/>
    <w:rsid w:val="3FB928FC"/>
    <w:rsid w:val="3FCF2120"/>
    <w:rsid w:val="3FD3598D"/>
    <w:rsid w:val="3FE80F3F"/>
    <w:rsid w:val="40041DC9"/>
    <w:rsid w:val="40160E46"/>
    <w:rsid w:val="40185875"/>
    <w:rsid w:val="4081166C"/>
    <w:rsid w:val="40CB28E7"/>
    <w:rsid w:val="40D964B2"/>
    <w:rsid w:val="4124437C"/>
    <w:rsid w:val="41387338"/>
    <w:rsid w:val="415723CD"/>
    <w:rsid w:val="417074C5"/>
    <w:rsid w:val="418B7876"/>
    <w:rsid w:val="419929E5"/>
    <w:rsid w:val="41B415CD"/>
    <w:rsid w:val="41F8595E"/>
    <w:rsid w:val="424F14BB"/>
    <w:rsid w:val="42AB29D0"/>
    <w:rsid w:val="42B42DF9"/>
    <w:rsid w:val="42EA0036"/>
    <w:rsid w:val="42F1156C"/>
    <w:rsid w:val="43031913"/>
    <w:rsid w:val="43177A73"/>
    <w:rsid w:val="431C5966"/>
    <w:rsid w:val="43384B87"/>
    <w:rsid w:val="433C57F6"/>
    <w:rsid w:val="4355386A"/>
    <w:rsid w:val="435B7B93"/>
    <w:rsid w:val="43617CE6"/>
    <w:rsid w:val="43801F1D"/>
    <w:rsid w:val="43817892"/>
    <w:rsid w:val="43A11430"/>
    <w:rsid w:val="43A259D0"/>
    <w:rsid w:val="440C3942"/>
    <w:rsid w:val="44BD69EB"/>
    <w:rsid w:val="44DC3315"/>
    <w:rsid w:val="45294080"/>
    <w:rsid w:val="452D1DC2"/>
    <w:rsid w:val="45B147A1"/>
    <w:rsid w:val="45BE673C"/>
    <w:rsid w:val="45EE2051"/>
    <w:rsid w:val="46015357"/>
    <w:rsid w:val="4646138E"/>
    <w:rsid w:val="467C6091"/>
    <w:rsid w:val="46E14C12"/>
    <w:rsid w:val="47046B53"/>
    <w:rsid w:val="471A6376"/>
    <w:rsid w:val="473449C2"/>
    <w:rsid w:val="47492F5C"/>
    <w:rsid w:val="475345C1"/>
    <w:rsid w:val="476E08C4"/>
    <w:rsid w:val="477E17AD"/>
    <w:rsid w:val="47990E08"/>
    <w:rsid w:val="47A125F4"/>
    <w:rsid w:val="47C50090"/>
    <w:rsid w:val="47C87B80"/>
    <w:rsid w:val="47F6697C"/>
    <w:rsid w:val="480627F2"/>
    <w:rsid w:val="48376AB4"/>
    <w:rsid w:val="484F2050"/>
    <w:rsid w:val="4884619D"/>
    <w:rsid w:val="48872B1F"/>
    <w:rsid w:val="48A96722"/>
    <w:rsid w:val="48B27CA9"/>
    <w:rsid w:val="48D53595"/>
    <w:rsid w:val="49011FF5"/>
    <w:rsid w:val="493E77EE"/>
    <w:rsid w:val="4968786D"/>
    <w:rsid w:val="497F7765"/>
    <w:rsid w:val="49886064"/>
    <w:rsid w:val="49A07715"/>
    <w:rsid w:val="49B900C8"/>
    <w:rsid w:val="49D97E23"/>
    <w:rsid w:val="49DF52A1"/>
    <w:rsid w:val="4A3D4856"/>
    <w:rsid w:val="4A677BFF"/>
    <w:rsid w:val="4A834233"/>
    <w:rsid w:val="4A8536F4"/>
    <w:rsid w:val="4ABD24B3"/>
    <w:rsid w:val="4AF60EA8"/>
    <w:rsid w:val="4B605BD1"/>
    <w:rsid w:val="4B67093E"/>
    <w:rsid w:val="4B7645F1"/>
    <w:rsid w:val="4B7F49FA"/>
    <w:rsid w:val="4BDC009E"/>
    <w:rsid w:val="4BE96BFE"/>
    <w:rsid w:val="4BEE2184"/>
    <w:rsid w:val="4C03562B"/>
    <w:rsid w:val="4C51283A"/>
    <w:rsid w:val="4CA74B4B"/>
    <w:rsid w:val="4CA94424"/>
    <w:rsid w:val="4CBD7ED0"/>
    <w:rsid w:val="4CEC0A5C"/>
    <w:rsid w:val="4D094EC3"/>
    <w:rsid w:val="4D31744A"/>
    <w:rsid w:val="4D6B16DA"/>
    <w:rsid w:val="4DD70FFB"/>
    <w:rsid w:val="4E127DA7"/>
    <w:rsid w:val="4E3F5BA3"/>
    <w:rsid w:val="4E8567CB"/>
    <w:rsid w:val="4EAD5D22"/>
    <w:rsid w:val="4EB42C0C"/>
    <w:rsid w:val="4EB64BD7"/>
    <w:rsid w:val="4ECA3A9B"/>
    <w:rsid w:val="4F0C47F7"/>
    <w:rsid w:val="4F3E6ECF"/>
    <w:rsid w:val="4F43714D"/>
    <w:rsid w:val="4F4950D8"/>
    <w:rsid w:val="4F816BA2"/>
    <w:rsid w:val="4FAE1D52"/>
    <w:rsid w:val="50550CC9"/>
    <w:rsid w:val="5060049E"/>
    <w:rsid w:val="50FE3B5D"/>
    <w:rsid w:val="511D682A"/>
    <w:rsid w:val="51255DA0"/>
    <w:rsid w:val="51EA65FC"/>
    <w:rsid w:val="51F6353C"/>
    <w:rsid w:val="522A53D7"/>
    <w:rsid w:val="5248023B"/>
    <w:rsid w:val="52F65EE9"/>
    <w:rsid w:val="531B4049"/>
    <w:rsid w:val="534704F3"/>
    <w:rsid w:val="53530C46"/>
    <w:rsid w:val="536704A3"/>
    <w:rsid w:val="53F353DD"/>
    <w:rsid w:val="54092EF7"/>
    <w:rsid w:val="5444625D"/>
    <w:rsid w:val="54485B16"/>
    <w:rsid w:val="544B5532"/>
    <w:rsid w:val="54972DB4"/>
    <w:rsid w:val="54B26391"/>
    <w:rsid w:val="54BF2B99"/>
    <w:rsid w:val="54CF7175"/>
    <w:rsid w:val="54DD775A"/>
    <w:rsid w:val="54DF33AD"/>
    <w:rsid w:val="54E97D31"/>
    <w:rsid w:val="54EB1352"/>
    <w:rsid w:val="552933F5"/>
    <w:rsid w:val="5579695E"/>
    <w:rsid w:val="559E17AC"/>
    <w:rsid w:val="55B24892"/>
    <w:rsid w:val="55BE25C3"/>
    <w:rsid w:val="55C0633B"/>
    <w:rsid w:val="55D1679A"/>
    <w:rsid w:val="55E4027B"/>
    <w:rsid w:val="55EC5382"/>
    <w:rsid w:val="55F83D27"/>
    <w:rsid w:val="562A65F6"/>
    <w:rsid w:val="563061CD"/>
    <w:rsid w:val="56356E4F"/>
    <w:rsid w:val="569B23C7"/>
    <w:rsid w:val="56A15984"/>
    <w:rsid w:val="56B41E25"/>
    <w:rsid w:val="56BA4313"/>
    <w:rsid w:val="56E85F15"/>
    <w:rsid w:val="57325016"/>
    <w:rsid w:val="578D049F"/>
    <w:rsid w:val="57D80FA0"/>
    <w:rsid w:val="57E97DCB"/>
    <w:rsid w:val="5803460F"/>
    <w:rsid w:val="584165B2"/>
    <w:rsid w:val="584F18E4"/>
    <w:rsid w:val="58AB32D2"/>
    <w:rsid w:val="58F406A3"/>
    <w:rsid w:val="5931649C"/>
    <w:rsid w:val="593D5DD4"/>
    <w:rsid w:val="594C0103"/>
    <w:rsid w:val="59831B59"/>
    <w:rsid w:val="59EA1BD8"/>
    <w:rsid w:val="59FA62BF"/>
    <w:rsid w:val="5A12625C"/>
    <w:rsid w:val="5A473648"/>
    <w:rsid w:val="5A4F7C8D"/>
    <w:rsid w:val="5A50391A"/>
    <w:rsid w:val="5A8A796D"/>
    <w:rsid w:val="5AAE149C"/>
    <w:rsid w:val="5AB75F5E"/>
    <w:rsid w:val="5ABF3065"/>
    <w:rsid w:val="5B136F0D"/>
    <w:rsid w:val="5B1B7851"/>
    <w:rsid w:val="5B1C04B7"/>
    <w:rsid w:val="5B321A89"/>
    <w:rsid w:val="5B80134A"/>
    <w:rsid w:val="5BBC3F73"/>
    <w:rsid w:val="5C0233C3"/>
    <w:rsid w:val="5C1B0060"/>
    <w:rsid w:val="5C8005D2"/>
    <w:rsid w:val="5CC901CB"/>
    <w:rsid w:val="5CDF030F"/>
    <w:rsid w:val="5CFD6760"/>
    <w:rsid w:val="5D2825E9"/>
    <w:rsid w:val="5DA402F0"/>
    <w:rsid w:val="5DCA1F46"/>
    <w:rsid w:val="5E345B18"/>
    <w:rsid w:val="5E5D506F"/>
    <w:rsid w:val="5EF3065B"/>
    <w:rsid w:val="5F0D00A2"/>
    <w:rsid w:val="5F0E3623"/>
    <w:rsid w:val="5F1F0E01"/>
    <w:rsid w:val="5F1F7677"/>
    <w:rsid w:val="5F41134C"/>
    <w:rsid w:val="5F4A3D74"/>
    <w:rsid w:val="5F571ABE"/>
    <w:rsid w:val="5F5A335C"/>
    <w:rsid w:val="5F5D03BD"/>
    <w:rsid w:val="5F970E2E"/>
    <w:rsid w:val="5FA6034F"/>
    <w:rsid w:val="5FB97F54"/>
    <w:rsid w:val="602269F9"/>
    <w:rsid w:val="6058794D"/>
    <w:rsid w:val="605E0C2A"/>
    <w:rsid w:val="609E047E"/>
    <w:rsid w:val="60B85FF5"/>
    <w:rsid w:val="60C23D93"/>
    <w:rsid w:val="60D777F7"/>
    <w:rsid w:val="60EE1FAE"/>
    <w:rsid w:val="611F660B"/>
    <w:rsid w:val="611F6782"/>
    <w:rsid w:val="612E2CF2"/>
    <w:rsid w:val="615734FE"/>
    <w:rsid w:val="61706E67"/>
    <w:rsid w:val="617561E7"/>
    <w:rsid w:val="618B1EF3"/>
    <w:rsid w:val="61FA4982"/>
    <w:rsid w:val="622639C9"/>
    <w:rsid w:val="629372B1"/>
    <w:rsid w:val="62C16D26"/>
    <w:rsid w:val="62C34E5F"/>
    <w:rsid w:val="62C76F5B"/>
    <w:rsid w:val="62F92E8C"/>
    <w:rsid w:val="630C56DC"/>
    <w:rsid w:val="63243CB4"/>
    <w:rsid w:val="63604CB9"/>
    <w:rsid w:val="636E73D6"/>
    <w:rsid w:val="63761FBC"/>
    <w:rsid w:val="637D18AE"/>
    <w:rsid w:val="63892462"/>
    <w:rsid w:val="638B451E"/>
    <w:rsid w:val="64002B70"/>
    <w:rsid w:val="6416019A"/>
    <w:rsid w:val="6429154F"/>
    <w:rsid w:val="642B12E8"/>
    <w:rsid w:val="64411F4B"/>
    <w:rsid w:val="64721148"/>
    <w:rsid w:val="6496043F"/>
    <w:rsid w:val="64A01811"/>
    <w:rsid w:val="650F1B29"/>
    <w:rsid w:val="652C579B"/>
    <w:rsid w:val="65390CC1"/>
    <w:rsid w:val="6589499B"/>
    <w:rsid w:val="65B23EF2"/>
    <w:rsid w:val="65C95CD8"/>
    <w:rsid w:val="65D51FDE"/>
    <w:rsid w:val="65D8322D"/>
    <w:rsid w:val="660D2ED6"/>
    <w:rsid w:val="66CA7019"/>
    <w:rsid w:val="66EE148F"/>
    <w:rsid w:val="67116334"/>
    <w:rsid w:val="672F4561"/>
    <w:rsid w:val="67445CEF"/>
    <w:rsid w:val="67642FCA"/>
    <w:rsid w:val="67DC3378"/>
    <w:rsid w:val="6804655B"/>
    <w:rsid w:val="683F0F30"/>
    <w:rsid w:val="685F7C35"/>
    <w:rsid w:val="68991C3F"/>
    <w:rsid w:val="68A322CF"/>
    <w:rsid w:val="68DC3767"/>
    <w:rsid w:val="69011409"/>
    <w:rsid w:val="690B3981"/>
    <w:rsid w:val="69230C63"/>
    <w:rsid w:val="694D5CE0"/>
    <w:rsid w:val="695172B0"/>
    <w:rsid w:val="699458C2"/>
    <w:rsid w:val="6A4964A7"/>
    <w:rsid w:val="6A555FA0"/>
    <w:rsid w:val="6A7E4421"/>
    <w:rsid w:val="6A7F29B8"/>
    <w:rsid w:val="6AA732A6"/>
    <w:rsid w:val="6ACB3360"/>
    <w:rsid w:val="6AD3765D"/>
    <w:rsid w:val="6B07083C"/>
    <w:rsid w:val="6B1D2D38"/>
    <w:rsid w:val="6B2036AC"/>
    <w:rsid w:val="6B2C2051"/>
    <w:rsid w:val="6B9D2F4E"/>
    <w:rsid w:val="6BBB2383"/>
    <w:rsid w:val="6BCD0AFC"/>
    <w:rsid w:val="6C5D0B51"/>
    <w:rsid w:val="6C6C00BA"/>
    <w:rsid w:val="6CC16767"/>
    <w:rsid w:val="6CED3A62"/>
    <w:rsid w:val="6CF645B1"/>
    <w:rsid w:val="6D0E33E1"/>
    <w:rsid w:val="6D161E0E"/>
    <w:rsid w:val="6D1D3A10"/>
    <w:rsid w:val="6D2B2A93"/>
    <w:rsid w:val="6D505D9E"/>
    <w:rsid w:val="6D5B09CB"/>
    <w:rsid w:val="6D5F7BD0"/>
    <w:rsid w:val="6D716073"/>
    <w:rsid w:val="6D7B5B8E"/>
    <w:rsid w:val="6D8D2964"/>
    <w:rsid w:val="6D8E2425"/>
    <w:rsid w:val="6DDA2238"/>
    <w:rsid w:val="6DF0745F"/>
    <w:rsid w:val="6E4027F5"/>
    <w:rsid w:val="6E685ABE"/>
    <w:rsid w:val="6EBF73CB"/>
    <w:rsid w:val="6EC32CCC"/>
    <w:rsid w:val="6EF015E7"/>
    <w:rsid w:val="6F295EC6"/>
    <w:rsid w:val="6F6330AE"/>
    <w:rsid w:val="6F755C7D"/>
    <w:rsid w:val="6F871F4B"/>
    <w:rsid w:val="6FAA5C3A"/>
    <w:rsid w:val="6FD4753D"/>
    <w:rsid w:val="6FFB3825"/>
    <w:rsid w:val="6FFB46E7"/>
    <w:rsid w:val="701521C2"/>
    <w:rsid w:val="70223C3E"/>
    <w:rsid w:val="704B11CB"/>
    <w:rsid w:val="704B3438"/>
    <w:rsid w:val="7064793F"/>
    <w:rsid w:val="70B328CC"/>
    <w:rsid w:val="70D32F6E"/>
    <w:rsid w:val="70EF2197"/>
    <w:rsid w:val="71552E50"/>
    <w:rsid w:val="71601FDB"/>
    <w:rsid w:val="719C5987"/>
    <w:rsid w:val="71D46DD7"/>
    <w:rsid w:val="71D53F0D"/>
    <w:rsid w:val="71DB032D"/>
    <w:rsid w:val="71DE1BCB"/>
    <w:rsid w:val="71E54119"/>
    <w:rsid w:val="71EE6B62"/>
    <w:rsid w:val="71F542A1"/>
    <w:rsid w:val="71FE729A"/>
    <w:rsid w:val="725325B9"/>
    <w:rsid w:val="7267415F"/>
    <w:rsid w:val="7276222A"/>
    <w:rsid w:val="72D71FDF"/>
    <w:rsid w:val="72EB27F1"/>
    <w:rsid w:val="72FF629D"/>
    <w:rsid w:val="73143404"/>
    <w:rsid w:val="733F060C"/>
    <w:rsid w:val="735C1231"/>
    <w:rsid w:val="736629D1"/>
    <w:rsid w:val="73740A39"/>
    <w:rsid w:val="73BE193C"/>
    <w:rsid w:val="740C7F8D"/>
    <w:rsid w:val="742D494E"/>
    <w:rsid w:val="74454296"/>
    <w:rsid w:val="745B7A81"/>
    <w:rsid w:val="7463285B"/>
    <w:rsid w:val="74744A68"/>
    <w:rsid w:val="74BB4445"/>
    <w:rsid w:val="74EA0887"/>
    <w:rsid w:val="74FD680C"/>
    <w:rsid w:val="750D5DB3"/>
    <w:rsid w:val="75154854"/>
    <w:rsid w:val="75357D54"/>
    <w:rsid w:val="75596138"/>
    <w:rsid w:val="75630B78"/>
    <w:rsid w:val="757B54EE"/>
    <w:rsid w:val="75855809"/>
    <w:rsid w:val="758A5319"/>
    <w:rsid w:val="75986535"/>
    <w:rsid w:val="75DA0985"/>
    <w:rsid w:val="761A4999"/>
    <w:rsid w:val="764566BC"/>
    <w:rsid w:val="764C7A4B"/>
    <w:rsid w:val="7650466E"/>
    <w:rsid w:val="766A10B5"/>
    <w:rsid w:val="766E5C13"/>
    <w:rsid w:val="7677439C"/>
    <w:rsid w:val="76A41B15"/>
    <w:rsid w:val="772B7660"/>
    <w:rsid w:val="77381774"/>
    <w:rsid w:val="773C7ABF"/>
    <w:rsid w:val="777F2B7E"/>
    <w:rsid w:val="77AE57C8"/>
    <w:rsid w:val="77B3120C"/>
    <w:rsid w:val="77C27899"/>
    <w:rsid w:val="78112CFA"/>
    <w:rsid w:val="781A76D5"/>
    <w:rsid w:val="783D6B45"/>
    <w:rsid w:val="784C4C20"/>
    <w:rsid w:val="7859644F"/>
    <w:rsid w:val="78721C9A"/>
    <w:rsid w:val="787B4617"/>
    <w:rsid w:val="7883527A"/>
    <w:rsid w:val="78BE2756"/>
    <w:rsid w:val="790C526F"/>
    <w:rsid w:val="79196F61"/>
    <w:rsid w:val="79262C4E"/>
    <w:rsid w:val="79314BC4"/>
    <w:rsid w:val="797A1FA2"/>
    <w:rsid w:val="797E663F"/>
    <w:rsid w:val="798C5674"/>
    <w:rsid w:val="79943C50"/>
    <w:rsid w:val="79A5003A"/>
    <w:rsid w:val="79D331BC"/>
    <w:rsid w:val="79FE6711"/>
    <w:rsid w:val="7A067436"/>
    <w:rsid w:val="7A541141"/>
    <w:rsid w:val="7A715CD2"/>
    <w:rsid w:val="7A807CC3"/>
    <w:rsid w:val="7AF32EBB"/>
    <w:rsid w:val="7B4231CA"/>
    <w:rsid w:val="7B5449DA"/>
    <w:rsid w:val="7B697FFC"/>
    <w:rsid w:val="7B723FA0"/>
    <w:rsid w:val="7BF24BF0"/>
    <w:rsid w:val="7C380BA0"/>
    <w:rsid w:val="7C3945CD"/>
    <w:rsid w:val="7C8A6875"/>
    <w:rsid w:val="7C8E0CE7"/>
    <w:rsid w:val="7CA9476E"/>
    <w:rsid w:val="7CAC2D59"/>
    <w:rsid w:val="7CAC3862"/>
    <w:rsid w:val="7CD2057E"/>
    <w:rsid w:val="7CD6006E"/>
    <w:rsid w:val="7CEE0851"/>
    <w:rsid w:val="7CF93D5D"/>
    <w:rsid w:val="7D310BAD"/>
    <w:rsid w:val="7D52346D"/>
    <w:rsid w:val="7DBD01ED"/>
    <w:rsid w:val="7DE16C1D"/>
    <w:rsid w:val="7DF07DEB"/>
    <w:rsid w:val="7E005BE7"/>
    <w:rsid w:val="7E4D02F2"/>
    <w:rsid w:val="7E7C69F3"/>
    <w:rsid w:val="7E8A6150"/>
    <w:rsid w:val="7EC363D0"/>
    <w:rsid w:val="7F0A15FC"/>
    <w:rsid w:val="7F0C2BFC"/>
    <w:rsid w:val="7F2C0C33"/>
    <w:rsid w:val="7F2D4191"/>
    <w:rsid w:val="7F6E50FD"/>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en-US" w:bidi="ar-SA"/>
    </w:rPr>
  </w:style>
  <w:style w:type="paragraph" w:styleId="2">
    <w:name w:val="heading 1"/>
    <w:basedOn w:val="1"/>
    <w:next w:val="1"/>
    <w:link w:val="13"/>
    <w:qFormat/>
    <w:uiPriority w:val="9"/>
    <w:pPr>
      <w:keepNext/>
      <w:keepLines/>
      <w:spacing w:before="340" w:after="330"/>
      <w:jc w:val="left"/>
      <w:outlineLvl w:val="0"/>
    </w:pPr>
    <w:rPr>
      <w:rFonts w:eastAsia="黑体"/>
      <w:b/>
      <w:kern w:val="44"/>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4"/>
    <w:qFormat/>
    <w:uiPriority w:val="0"/>
  </w:style>
  <w:style w:type="paragraph" w:customStyle="1" w:styleId="4">
    <w:name w:val="newNormal"/>
    <w:qFormat/>
    <w:uiPriority w:val="0"/>
    <w:pPr>
      <w:widowControl w:val="0"/>
      <w:jc w:val="both"/>
    </w:pPr>
    <w:rPr>
      <w:rFonts w:ascii="Calibri" w:hAnsi="Calibri" w:eastAsia="宋体" w:cs="Times New Roman"/>
      <w:kern w:val="2"/>
      <w:sz w:val="21"/>
      <w:szCs w:val="22"/>
      <w:lang w:val="en-US" w:eastAsia="en-US" w:bidi="ar-SA"/>
    </w:r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link w:val="18"/>
    <w:unhideWhenUsed/>
    <w:qFormat/>
    <w:uiPriority w:val="39"/>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u w:val="single"/>
    </w:rPr>
  </w:style>
  <w:style w:type="character" w:customStyle="1" w:styleId="13">
    <w:name w:val="标题 1 Char"/>
    <w:link w:val="2"/>
    <w:qFormat/>
    <w:uiPriority w:val="9"/>
    <w:rPr>
      <w:rFonts w:eastAsia="黑体"/>
      <w:b/>
      <w:kern w:val="44"/>
      <w:sz w:val="32"/>
    </w:rPr>
  </w:style>
  <w:style w:type="character" w:customStyle="1" w:styleId="14">
    <w:name w:val="正文文本 字符"/>
    <w:basedOn w:val="11"/>
    <w:qFormat/>
    <w:uiPriority w:val="1"/>
  </w:style>
  <w:style w:type="character" w:customStyle="1" w:styleId="15">
    <w:name w:val="批注框文本 字符"/>
    <w:basedOn w:val="11"/>
    <w:link w:val="5"/>
    <w:qFormat/>
    <w:uiPriority w:val="99"/>
    <w:rPr>
      <w:sz w:val="18"/>
      <w:szCs w:val="18"/>
    </w:rPr>
  </w:style>
  <w:style w:type="character" w:customStyle="1" w:styleId="16">
    <w:name w:val="页脚 字符"/>
    <w:basedOn w:val="11"/>
    <w:link w:val="6"/>
    <w:qFormat/>
    <w:uiPriority w:val="99"/>
    <w:rPr>
      <w:sz w:val="18"/>
      <w:szCs w:val="18"/>
    </w:rPr>
  </w:style>
  <w:style w:type="character" w:customStyle="1" w:styleId="17">
    <w:name w:val="页眉 字符"/>
    <w:basedOn w:val="11"/>
    <w:link w:val="7"/>
    <w:qFormat/>
    <w:uiPriority w:val="99"/>
    <w:rPr>
      <w:sz w:val="18"/>
      <w:szCs w:val="18"/>
    </w:rPr>
  </w:style>
  <w:style w:type="character" w:customStyle="1" w:styleId="18">
    <w:name w:val="TOC 1 字符"/>
    <w:basedOn w:val="11"/>
    <w:link w:val="8"/>
    <w:qFormat/>
    <w:uiPriority w:val="39"/>
    <w:rPr>
      <w:rFonts w:ascii="Calibri" w:hAnsi="Calibri" w:eastAsia="宋体" w:cs="Times New Roman"/>
      <w:kern w:val="2"/>
      <w:sz w:val="21"/>
      <w:szCs w:val="22"/>
    </w:rPr>
  </w:style>
  <w:style w:type="paragraph" w:customStyle="1" w:styleId="1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0">
    <w:name w:val="列出段落1"/>
    <w:basedOn w:val="1"/>
    <w:qFormat/>
    <w:uiPriority w:val="34"/>
    <w:pPr>
      <w:spacing w:line="276" w:lineRule="auto"/>
      <w:ind w:firstLine="420" w:firstLineChars="200"/>
    </w:pPr>
  </w:style>
  <w:style w:type="paragraph" w:styleId="21">
    <w:name w:val="List Paragraph"/>
    <w:basedOn w:val="1"/>
    <w:unhideWhenUsed/>
    <w:qFormat/>
    <w:uiPriority w:val="99"/>
    <w:pPr>
      <w:spacing w:line="276" w:lineRule="auto"/>
      <w:ind w:firstLine="420" w:firstLineChars="200"/>
    </w:pPr>
  </w:style>
  <w:style w:type="character" w:customStyle="1" w:styleId="22">
    <w:name w:val="pattern-text"/>
    <w:basedOn w:val="11"/>
    <w:qFormat/>
    <w:uiPriority w:val="0"/>
  </w:style>
  <w:style w:type="character" w:customStyle="1" w:styleId="23">
    <w:name w:val="indent"/>
    <w:basedOn w:val="11"/>
    <w:qFormat/>
    <w:uiPriority w:val="0"/>
  </w:style>
  <w:style w:type="character" w:customStyle="1" w:styleId="24">
    <w:name w:val="font01"/>
    <w:basedOn w:val="11"/>
    <w:qFormat/>
    <w:uiPriority w:val="0"/>
    <w:rPr>
      <w:rFonts w:hint="eastAsia" w:ascii="宋体" w:hAnsi="宋体" w:eastAsia="宋体" w:cs="宋体"/>
      <w:color w:val="000000"/>
      <w:sz w:val="22"/>
      <w:szCs w:val="22"/>
      <w:u w:val="none"/>
    </w:rPr>
  </w:style>
  <w:style w:type="character" w:customStyle="1" w:styleId="25">
    <w:name w:val="font21"/>
    <w:basedOn w:val="11"/>
    <w:qFormat/>
    <w:uiPriority w:val="0"/>
    <w:rPr>
      <w:rFonts w:hint="eastAsia" w:ascii="宋体" w:hAnsi="宋体" w:eastAsia="宋体" w:cs="宋体"/>
      <w:color w:val="000000"/>
      <w:sz w:val="18"/>
      <w:szCs w:val="18"/>
      <w:u w:val="none"/>
    </w:rPr>
  </w:style>
  <w:style w:type="paragraph" w:customStyle="1" w:styleId="26">
    <w:name w:val="TOC11"/>
    <w:basedOn w:val="8"/>
    <w:link w:val="27"/>
    <w:qFormat/>
    <w:uiPriority w:val="0"/>
    <w:pPr>
      <w:tabs>
        <w:tab w:val="right" w:leader="dot" w:pos="8306"/>
      </w:tabs>
    </w:pPr>
    <w:rPr>
      <w:rFonts w:ascii="宋体" w:hAnsi="宋体" w:eastAsia="宋体" w:cs="宋体"/>
      <w:b/>
      <w:bCs/>
      <w:sz w:val="36"/>
      <w:szCs w:val="36"/>
    </w:rPr>
  </w:style>
  <w:style w:type="character" w:customStyle="1" w:styleId="27">
    <w:name w:val="TOC11 字符"/>
    <w:basedOn w:val="18"/>
    <w:link w:val="26"/>
    <w:qFormat/>
    <w:uiPriority w:val="0"/>
    <w:rPr>
      <w:rFonts w:ascii="宋体" w:hAnsi="宋体" w:eastAsia="宋体" w:cs="宋体"/>
      <w:b/>
      <w:bCs/>
      <w:kern w:val="2"/>
      <w:sz w:val="36"/>
      <w:szCs w:val="36"/>
    </w:rPr>
  </w:style>
  <w:style w:type="paragraph" w:customStyle="1" w:styleId="28">
    <w:name w:val="TOC22"/>
    <w:basedOn w:val="8"/>
    <w:link w:val="29"/>
    <w:qFormat/>
    <w:uiPriority w:val="0"/>
    <w:pPr>
      <w:tabs>
        <w:tab w:val="right" w:leader="dot" w:pos="8306"/>
      </w:tabs>
    </w:pPr>
    <w:rPr>
      <w:rFonts w:ascii="宋体" w:hAnsi="宋体" w:eastAsia="宋体" w:cs="宋体"/>
      <w:sz w:val="36"/>
      <w:szCs w:val="36"/>
    </w:rPr>
  </w:style>
  <w:style w:type="character" w:customStyle="1" w:styleId="29">
    <w:name w:val="TOC22 字符"/>
    <w:basedOn w:val="18"/>
    <w:link w:val="28"/>
    <w:qFormat/>
    <w:uiPriority w:val="0"/>
    <w:rPr>
      <w:rFonts w:ascii="宋体" w:hAnsi="宋体" w:eastAsia="宋体" w:cs="宋体"/>
      <w:kern w:val="2"/>
      <w:sz w:val="36"/>
      <w:szCs w:val="36"/>
    </w:rPr>
  </w:style>
  <w:style w:type="table" w:customStyle="1" w:styleId="30">
    <w:name w:val="Table Normal_0"/>
    <w:semiHidden/>
    <w:unhideWhenUsed/>
    <w:qFormat/>
    <w:uiPriority w:val="0"/>
    <w:tblPr>
      <w:tblCellMar>
        <w:top w:w="0" w:type="dxa"/>
        <w:left w:w="0" w:type="dxa"/>
        <w:bottom w:w="0" w:type="dxa"/>
        <w:right w:w="0" w:type="dxa"/>
      </w:tblCellMar>
    </w:tblPr>
  </w:style>
  <w:style w:type="paragraph" w:customStyle="1" w:styleId="31">
    <w:name w:val="Normal_0"/>
    <w:qFormat/>
    <w:uiPriority w:val="0"/>
    <w:rPr>
      <w:rFonts w:ascii="Times New Roman" w:hAnsi="Times New Roman" w:eastAsia="宋体" w:cs="Times New Roman"/>
      <w:lang w:val="en-US" w:eastAsia="en-US" w:bidi="ar-SA"/>
    </w:rPr>
  </w:style>
  <w:style w:type="paragraph" w:customStyle="1" w:styleId="32">
    <w:name w:val="newHeading 1"/>
    <w:basedOn w:val="4"/>
    <w:next w:val="4"/>
    <w:qFormat/>
    <w:uiPriority w:val="0"/>
    <w:pPr>
      <w:keepNext/>
      <w:keepLines/>
      <w:spacing w:before="340" w:beforeLines="0" w:beforeAutospacing="0" w:after="330" w:afterLines="0" w:afterAutospacing="0" w:line="240" w:lineRule="auto"/>
      <w:jc w:val="left"/>
      <w:outlineLvl w:val="0"/>
    </w:pPr>
    <w:rPr>
      <w:rFonts w:eastAsia="黑体"/>
      <w:b/>
      <w:kern w:val="44"/>
      <w:sz w:val="32"/>
    </w:rPr>
  </w:style>
  <w:style w:type="paragraph" w:customStyle="1" w:styleId="33">
    <w:name w:val="newHeading 2"/>
    <w:basedOn w:val="4"/>
    <w:next w:val="4"/>
    <w:semiHidden/>
    <w:unhideWhenUsed/>
    <w:qFormat/>
    <w:uiPriority w:val="9"/>
    <w:pPr>
      <w:keepNext/>
      <w:keepLines/>
      <w:spacing w:before="200" w:after="0"/>
      <w:outlineLvl w:val="1"/>
    </w:pPr>
    <w:rPr>
      <w:rFonts w:ascii="Cambria" w:hAnsi="Cambria" w:eastAsia="Times New Roman" w:cs="Times New Roman"/>
      <w:b/>
      <w:bCs/>
      <w:color w:val="4F81BD"/>
      <w:sz w:val="26"/>
      <w:szCs w:val="26"/>
    </w:rPr>
  </w:style>
  <w:style w:type="paragraph" w:customStyle="1" w:styleId="34">
    <w:name w:val="newHeading 3"/>
    <w:basedOn w:val="4"/>
    <w:next w:val="4"/>
    <w:semiHidden/>
    <w:unhideWhenUsed/>
    <w:qFormat/>
    <w:uiPriority w:val="9"/>
    <w:pPr>
      <w:keepNext/>
      <w:keepLines/>
      <w:spacing w:before="200" w:after="0"/>
      <w:outlineLvl w:val="2"/>
    </w:pPr>
    <w:rPr>
      <w:rFonts w:ascii="Cambria" w:hAnsi="Cambria" w:eastAsia="Times New Roman" w:cs="Times New Roman"/>
      <w:b/>
      <w:bCs/>
      <w:color w:val="4F81B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4265</Words>
  <Characters>9289</Characters>
  <Lines>54</Lines>
  <Paragraphs>15</Paragraphs>
  <TotalTime>7</TotalTime>
  <ScaleCrop>false</ScaleCrop>
  <LinksUpToDate>false</LinksUpToDate>
  <CharactersWithSpaces>9321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Administrator</cp:lastModifiedBy>
  <dcterms:modified xsi:type="dcterms:W3CDTF">2026-02-09T08:21:43Z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F7C93BEF3AF04360AC580AA4959C173B_13</vt:lpwstr>
  </property>
  <property fmtid="{D5CDD505-2E9C-101B-9397-08002B2CF9AE}" pid="3" name="KSOProductBuildVer">
    <vt:lpwstr>2052-11.1.0.10072</vt:lpwstr>
  </property>
  <property fmtid="{D5CDD505-2E9C-101B-9397-08002B2CF9AE}" pid="4" name="KSOTemplateDocerSaveRecord">
    <vt:lpwstr>eyJoZGlkIjoiZDQxNTc3ZTM3ZmFjY2E1ZmFmMzBiZTY3YmUwM2IyYTkiLCJ1c2VySWQiOiI4NjEzNDc4ODAifQ==</vt:lpwstr>
  </property>
</Properties>
</file>