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center"/>
        <w:rPr>
          <w:color w:val="auto"/>
          <w:sz w:val="84"/>
          <w:szCs w:val="84"/>
        </w:rPr>
      </w:pPr>
    </w:p>
    <w:p>
      <w:pPr>
        <w:widowControl/>
        <w:jc w:val="center"/>
        <w:rPr>
          <w:color w:val="auto"/>
          <w:sz w:val="84"/>
          <w:szCs w:val="84"/>
        </w:rPr>
      </w:pPr>
    </w:p>
    <w:p>
      <w:pPr>
        <w:widowControl/>
        <w:jc w:val="center"/>
        <w:rPr>
          <w:rFonts w:hint="eastAsia" w:ascii="方正小标宋简体" w:eastAsia="方正小标宋简体"/>
          <w:color w:val="auto"/>
          <w:sz w:val="52"/>
          <w:szCs w:val="52"/>
        </w:rPr>
      </w:pPr>
      <w:r>
        <w:rPr>
          <w:rFonts w:hint="eastAsia" w:ascii="方正小标宋简体" w:eastAsia="方正小标宋简体"/>
          <w:color w:val="auto"/>
          <w:sz w:val="52"/>
          <w:szCs w:val="52"/>
        </w:rPr>
        <w:t>2019年度中国共产党</w:t>
      </w:r>
    </w:p>
    <w:p>
      <w:pPr>
        <w:widowControl/>
        <w:jc w:val="center"/>
        <w:rPr>
          <w:rFonts w:ascii="方正小标宋简体" w:eastAsia="方正小标宋简体"/>
          <w:color w:val="auto"/>
          <w:sz w:val="52"/>
          <w:szCs w:val="52"/>
        </w:rPr>
      </w:pPr>
      <w:r>
        <w:rPr>
          <w:rFonts w:hint="eastAsia" w:ascii="方正小标宋简体" w:eastAsia="方正小标宋简体"/>
          <w:color w:val="auto"/>
          <w:sz w:val="52"/>
          <w:szCs w:val="52"/>
        </w:rPr>
        <w:t>连城县纪律检查委员会部门决算</w:t>
      </w:r>
    </w:p>
    <w:p>
      <w:pPr>
        <w:widowControl/>
        <w:rPr>
          <w:color w:val="auto"/>
          <w:sz w:val="84"/>
          <w:szCs w:val="84"/>
        </w:rPr>
      </w:pPr>
      <w:bookmarkStart w:id="0" w:name="_GoBack"/>
      <w:bookmarkEnd w:id="0"/>
      <w:r>
        <w:rPr>
          <w:color w:val="auto"/>
          <w:sz w:val="84"/>
          <w:szCs w:val="84"/>
        </w:rPr>
        <w:br w:type="page"/>
      </w:r>
    </w:p>
    <w:p>
      <w:pPr>
        <w:jc w:val="center"/>
        <w:rPr>
          <w:rFonts w:ascii="仿宋" w:hAnsi="仿宋" w:eastAsia="仿宋"/>
          <w:b/>
          <w:color w:val="auto"/>
          <w:sz w:val="32"/>
          <w:szCs w:val="32"/>
        </w:rPr>
      </w:pPr>
      <w:r>
        <w:rPr>
          <w:rFonts w:hint="eastAsia" w:ascii="仿宋" w:hAnsi="仿宋" w:eastAsia="仿宋"/>
          <w:b/>
          <w:color w:val="auto"/>
          <w:sz w:val="32"/>
          <w:szCs w:val="32"/>
        </w:rPr>
        <w:t>目 录</w:t>
      </w:r>
    </w:p>
    <w:p>
      <w:pPr>
        <w:jc w:val="left"/>
        <w:rPr>
          <w:rFonts w:hint="eastAsia" w:ascii="仿宋" w:hAnsi="仿宋" w:eastAsia="仿宋"/>
          <w:color w:val="auto"/>
          <w:sz w:val="32"/>
          <w:szCs w:val="32"/>
          <w:lang w:val="en-US" w:eastAsia="zh-CN"/>
        </w:rPr>
      </w:pPr>
      <w:r>
        <w:rPr>
          <w:rFonts w:hint="eastAsia" w:ascii="仿宋" w:hAnsi="仿宋" w:eastAsia="仿宋"/>
          <w:b/>
          <w:color w:val="auto"/>
          <w:sz w:val="32"/>
          <w:szCs w:val="32"/>
        </w:rPr>
        <w:t>第一部分 部门概况</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一、部门主要职责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二、部门决算单位基本情况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.3</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三、部门主要工作总结....................</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.3</w:t>
      </w:r>
    </w:p>
    <w:p>
      <w:pPr>
        <w:jc w:val="left"/>
        <w:rPr>
          <w:rFonts w:hint="default" w:ascii="仿宋" w:hAnsi="仿宋" w:eastAsia="仿宋"/>
          <w:color w:val="auto"/>
          <w:sz w:val="32"/>
          <w:szCs w:val="32"/>
          <w:lang w:val="en-US" w:eastAsia="zh-CN"/>
        </w:rPr>
      </w:pPr>
      <w:r>
        <w:rPr>
          <w:rFonts w:hint="eastAsia" w:ascii="仿宋" w:hAnsi="仿宋" w:eastAsia="仿宋"/>
          <w:b/>
          <w:color w:val="auto"/>
          <w:sz w:val="32"/>
          <w:szCs w:val="32"/>
        </w:rPr>
        <w:t xml:space="preserve">第二部分 </w:t>
      </w:r>
      <w:r>
        <w:rPr>
          <w:rFonts w:hint="eastAsia" w:ascii="仿宋" w:hAnsi="仿宋" w:eastAsia="仿宋" w:cs="仿宋_GB2312"/>
          <w:color w:val="auto"/>
          <w:sz w:val="32"/>
          <w:szCs w:val="32"/>
        </w:rPr>
        <w:t>2019</w:t>
      </w:r>
      <w:r>
        <w:rPr>
          <w:rFonts w:hint="eastAsia" w:ascii="仿宋" w:hAnsi="仿宋" w:eastAsia="仿宋"/>
          <w:b/>
          <w:color w:val="auto"/>
          <w:sz w:val="32"/>
          <w:szCs w:val="32"/>
        </w:rPr>
        <w:t>年度部门决算表</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10</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一、收入支出决算总表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.10</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二、收入决算表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11</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三、支出决算表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11</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四、财政拨款收入支出决算总表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11</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五、一般公共预算财政拨款支出决算表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13</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六、</w:t>
      </w:r>
      <w:r>
        <w:rPr>
          <w:rFonts w:hint="eastAsia" w:ascii="仿宋" w:hAnsi="仿宋" w:eastAsia="仿宋"/>
          <w:color w:val="auto"/>
          <w:spacing w:val="-14"/>
          <w:sz w:val="32"/>
          <w:szCs w:val="32"/>
        </w:rPr>
        <w:t>一般公共预算财政拨款支出决算明细表</w:t>
      </w:r>
      <w:r>
        <w:rPr>
          <w:rFonts w:hint="eastAsia"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13</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七、一般公共预算财政拨款基本支出决算表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13</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八、政府性基金预算财政拨款收入支出决算表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16</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九、</w:t>
      </w:r>
      <w:r>
        <w:rPr>
          <w:rFonts w:hint="eastAsia" w:ascii="仿宋" w:hAnsi="仿宋" w:eastAsia="仿宋"/>
          <w:color w:val="auto"/>
          <w:spacing w:val="-14"/>
          <w:sz w:val="32"/>
          <w:szCs w:val="32"/>
        </w:rPr>
        <w:t>机构运行信息表</w:t>
      </w:r>
      <w:r>
        <w:rPr>
          <w:rFonts w:hint="eastAsia"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16</w:t>
      </w:r>
    </w:p>
    <w:p>
      <w:pPr>
        <w:jc w:val="left"/>
        <w:rPr>
          <w:rFonts w:hint="default" w:ascii="仿宋" w:hAnsi="仿宋" w:eastAsia="仿宋"/>
          <w:color w:val="auto"/>
          <w:sz w:val="32"/>
          <w:szCs w:val="32"/>
          <w:lang w:val="en-US" w:eastAsia="zh-CN"/>
        </w:rPr>
      </w:pPr>
      <w:r>
        <w:rPr>
          <w:rFonts w:hint="eastAsia" w:ascii="仿宋" w:hAnsi="仿宋" w:eastAsia="仿宋"/>
          <w:b/>
          <w:color w:val="auto"/>
          <w:sz w:val="32"/>
          <w:szCs w:val="32"/>
        </w:rPr>
        <w:t xml:space="preserve">第三部分 </w:t>
      </w:r>
      <w:r>
        <w:rPr>
          <w:rFonts w:hint="eastAsia" w:ascii="仿宋" w:hAnsi="仿宋" w:eastAsia="仿宋" w:cs="仿宋_GB2312"/>
          <w:color w:val="auto"/>
          <w:sz w:val="32"/>
          <w:szCs w:val="32"/>
        </w:rPr>
        <w:t>2019</w:t>
      </w:r>
      <w:r>
        <w:rPr>
          <w:rFonts w:hint="eastAsia" w:ascii="仿宋" w:hAnsi="仿宋" w:eastAsia="仿宋"/>
          <w:b/>
          <w:color w:val="auto"/>
          <w:sz w:val="32"/>
          <w:szCs w:val="32"/>
        </w:rPr>
        <w:t>年度部门决算情况说明</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17</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一、收入支出决算总体情况说明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17</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二、一般公共预算财政拨款支出决算情况说明...</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18</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三、政府性基金支出决算情况说明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18</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四、一般公共预算财政拨款基本支出决算情况说明..</w:t>
      </w:r>
      <w:r>
        <w:rPr>
          <w:rFonts w:hint="eastAsia" w:ascii="仿宋" w:hAnsi="仿宋" w:eastAsia="仿宋"/>
          <w:color w:val="auto"/>
          <w:sz w:val="32"/>
          <w:szCs w:val="32"/>
          <w:lang w:val="en-US" w:eastAsia="zh-CN"/>
        </w:rPr>
        <w:t>19</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五、一般公共预算财政拨款“三公”经费支出决算情况说明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20</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六、预算绩效情况说明..............</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20</w:t>
      </w:r>
    </w:p>
    <w:p>
      <w:pPr>
        <w:jc w:val="left"/>
        <w:rPr>
          <w:rFonts w:hint="default" w:ascii="仿宋" w:hAnsi="仿宋" w:eastAsia="仿宋"/>
          <w:color w:val="auto"/>
          <w:sz w:val="32"/>
          <w:szCs w:val="32"/>
          <w:lang w:val="en-US" w:eastAsia="zh-CN"/>
        </w:rPr>
      </w:pPr>
      <w:r>
        <w:rPr>
          <w:rFonts w:hint="eastAsia" w:ascii="仿宋" w:hAnsi="仿宋" w:eastAsia="仿宋"/>
          <w:color w:val="auto"/>
          <w:sz w:val="32"/>
          <w:szCs w:val="32"/>
        </w:rPr>
        <w:t>七、其他重要事项情况说明..........</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20</w:t>
      </w:r>
    </w:p>
    <w:p>
      <w:pPr>
        <w:jc w:val="left"/>
        <w:rPr>
          <w:rFonts w:hint="default" w:ascii="仿宋" w:hAnsi="仿宋" w:eastAsia="仿宋"/>
          <w:color w:val="auto"/>
          <w:sz w:val="32"/>
          <w:szCs w:val="32"/>
          <w:lang w:val="en-US" w:eastAsia="zh-CN"/>
        </w:rPr>
      </w:pPr>
      <w:r>
        <w:rPr>
          <w:rFonts w:hint="eastAsia" w:ascii="仿宋" w:hAnsi="仿宋" w:eastAsia="仿宋"/>
          <w:b/>
          <w:color w:val="auto"/>
          <w:sz w:val="32"/>
          <w:szCs w:val="32"/>
        </w:rPr>
        <w:t>第四部分 名词解释</w:t>
      </w:r>
      <w:r>
        <w:rPr>
          <w:rFonts w:hint="eastAsia" w:ascii="仿宋" w:hAnsi="仿宋" w:eastAsia="仿宋"/>
          <w:color w:val="auto"/>
          <w:sz w:val="32"/>
          <w:szCs w:val="32"/>
        </w:rPr>
        <w:t xml:space="preserve"> .................</w:t>
      </w:r>
      <w:r>
        <w:rPr>
          <w:rFonts w:hint="eastAsia" w:ascii="仿宋" w:hAnsi="仿宋" w:eastAsia="仿宋"/>
          <w:color w:val="auto"/>
          <w:sz w:val="32"/>
          <w:szCs w:val="32"/>
          <w:lang w:val="en-US" w:eastAsia="zh-CN"/>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22</w:t>
      </w: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left"/>
        <w:rPr>
          <w:rFonts w:ascii="仿宋" w:hAnsi="仿宋" w:eastAsia="仿宋"/>
          <w:color w:val="auto"/>
          <w:sz w:val="32"/>
          <w:szCs w:val="32"/>
        </w:rPr>
      </w:pPr>
    </w:p>
    <w:p>
      <w:pPr>
        <w:jc w:val="center"/>
        <w:rPr>
          <w:rFonts w:ascii="黑体" w:hAnsi="黑体" w:eastAsia="黑体"/>
          <w:color w:val="auto"/>
          <w:sz w:val="36"/>
          <w:szCs w:val="36"/>
        </w:rPr>
        <w:sectPr>
          <w:pgSz w:w="11906" w:h="16838"/>
          <w:pgMar w:top="1440" w:right="1800" w:bottom="1440" w:left="1800" w:header="851" w:footer="992" w:gutter="0"/>
          <w:cols w:space="720" w:num="1"/>
          <w:docGrid w:type="lines" w:linePitch="312"/>
        </w:sectPr>
      </w:pPr>
    </w:p>
    <w:p>
      <w:pPr>
        <w:jc w:val="center"/>
        <w:rPr>
          <w:rFonts w:ascii="黑体" w:hAnsi="黑体" w:eastAsia="黑体"/>
          <w:color w:val="auto"/>
          <w:sz w:val="36"/>
          <w:szCs w:val="36"/>
        </w:rPr>
      </w:pPr>
      <w:r>
        <w:rPr>
          <w:rFonts w:hint="eastAsia" w:ascii="黑体" w:hAnsi="黑体" w:eastAsia="黑体"/>
          <w:color w:val="auto"/>
          <w:sz w:val="36"/>
          <w:szCs w:val="36"/>
        </w:rPr>
        <w:t>第一部分 部门概况</w:t>
      </w:r>
    </w:p>
    <w:p>
      <w:pPr>
        <w:jc w:val="center"/>
        <w:rPr>
          <w:rFonts w:ascii="黑体" w:hAnsi="黑体" w:eastAsia="黑体"/>
          <w:color w:val="auto"/>
          <w:sz w:val="36"/>
          <w:szCs w:val="36"/>
        </w:rPr>
      </w:pP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一、部门主要职责</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中国共产党连城县纪律检查委员会的主要职责是：</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一）负责全县党的纪律检查工作。贯彻落实党中央及省委市委县委、中央纪委、省纪委和市纪委关于纪律检查工作的决定，维护党的章程和其他党内法规，检查党的路线方针政策和决议的执行情况，协助县委推进全面从严治党、加强党风建设和组织协调反腐败工作。</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二)依照党的章程和其他党内法规履行监督、执纪问责职责。负责经常对党员进行遵守纪律的教育，做出关于维护党纪的决定。对县委工作机关、县委批准设立的党组(党委)，乡(镇)党委、纪委等党的组织和县委管理的党员领导</w:t>
      </w:r>
      <w:r>
        <w:rPr>
          <w:rFonts w:hint="eastAsia" w:ascii="仿宋_GB2312" w:hAnsi="仿宋" w:eastAsia="仿宋_GB2312"/>
          <w:color w:val="auto"/>
          <w:sz w:val="32"/>
          <w:szCs w:val="32"/>
          <w:lang w:eastAsia="zh-CN"/>
        </w:rPr>
        <w:t>干</w:t>
      </w:r>
      <w:r>
        <w:rPr>
          <w:rFonts w:hint="eastAsia" w:ascii="仿宋_GB2312" w:hAnsi="仿宋" w:eastAsia="仿宋_GB2312"/>
          <w:color w:val="auto"/>
          <w:sz w:val="32"/>
          <w:szCs w:val="32"/>
        </w:rPr>
        <w:t>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三）负责全县监察工作。贯彻落实党中央及省委市委县委、国家监委、省监委和市监委关于监察工作的决定，维护宪法法律，依法对县委管理的行使公权力的公职人员进行监察，调查职务违法和职务犯罪，开展廉政建设和反腐败工作。</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四)依照法律规定履行监督、调查、处置职责。推动开展廉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做出政务处分决定。对履行职责不力、失职失责的领导人员进行问责。对涉嫌职务犯罪的，将调查结果移送人民检察院依法审查、提起公诉。向监察对象所在单位提出监察建议。</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(五)负责组织协调全县全面从严治党、党风廉政建设和反腐败宣传教育工作。</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(六)负责综合分析全县全面从严治党、党风廉政建设和反腐败工作情况，对纪检监察工作重要政策理论及实践问题进行调查研究。制定或修改全县纪检监察规范性文件，参与起草相关党内规范性文件。</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(七)负责组织协调全县反腐败追逃追赃和防逃工作。</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八)根据干部管理权限，负责全县纪检监察系统领导班子建设、干部队伍建设和组织建设的综合规划、政策研究、制度建设和业务指导。会同有关方面做好县纪委监委派驻机构、县直纪工委、乡(镇)纪委和派出监察组、县管企业纪检监察机构领导班子建设有关工作。组织和指导全县纪检监察系统干部教育培训工作等。</w:t>
      </w:r>
    </w:p>
    <w:p>
      <w:pPr>
        <w:spacing w:line="600" w:lineRule="exact"/>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rPr>
        <w:t>(九)完成县委和市纪委监委交办的其他任务。</w:t>
      </w: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二、部门决算单位基本情况</w:t>
      </w:r>
    </w:p>
    <w:p>
      <w:pPr>
        <w:tabs>
          <w:tab w:val="left" w:pos="7513"/>
        </w:tabs>
        <w:adjustRightInd w:val="0"/>
        <w:snapToGrid w:val="0"/>
        <w:spacing w:line="600" w:lineRule="exact"/>
        <w:ind w:firstLine="640" w:firstLineChars="200"/>
        <w:rPr>
          <w:rFonts w:hint="eastAsia" w:ascii="仿宋_GB2312" w:hAnsi="仿宋" w:eastAsia="仿宋_GB2312" w:cs="仿宋_GB2312"/>
          <w:color w:val="auto"/>
          <w:sz w:val="32"/>
          <w:szCs w:val="32"/>
        </w:rPr>
      </w:pPr>
      <w:r>
        <w:rPr>
          <w:rFonts w:hint="eastAsia" w:ascii="仿宋_GB2312" w:hAnsi="仿宋" w:eastAsia="仿宋_GB2312" w:cs="仿宋_GB2312"/>
          <w:color w:val="auto"/>
          <w:sz w:val="32"/>
          <w:szCs w:val="32"/>
        </w:rPr>
        <w:t>从决算单位构成看，中国共产党连城县纪律检查委员会包括12 个机关行政科室及 1 个下属单位</w:t>
      </w:r>
      <w:r>
        <w:rPr>
          <w:rFonts w:hint="eastAsia" w:ascii="仿宋_GB2312" w:hAnsi="仿宋" w:eastAsia="仿宋_GB2312"/>
          <w:color w:val="auto"/>
          <w:sz w:val="32"/>
          <w:szCs w:val="32"/>
        </w:rPr>
        <w:t>，其中：列入</w:t>
      </w:r>
      <w:r>
        <w:rPr>
          <w:rFonts w:hint="eastAsia" w:ascii="仿宋_GB2312" w:hAnsi="仿宋" w:eastAsia="仿宋_GB2312" w:cs="仿宋_GB2312"/>
          <w:color w:val="auto"/>
          <w:sz w:val="32"/>
          <w:szCs w:val="32"/>
        </w:rPr>
        <w:t>2019</w:t>
      </w:r>
      <w:r>
        <w:rPr>
          <w:rFonts w:hint="eastAsia" w:ascii="仿宋_GB2312" w:hAnsi="仿宋" w:eastAsia="仿宋_GB2312"/>
          <w:color w:val="auto"/>
          <w:sz w:val="32"/>
          <w:szCs w:val="32"/>
        </w:rPr>
        <w:t>年部门决算编制范围的单位详细情况见下表:</w:t>
      </w:r>
    </w:p>
    <w:tbl>
      <w:tblPr>
        <w:tblW w:w="8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1560"/>
        <w:gridCol w:w="1275"/>
        <w:gridCol w:w="993"/>
      </w:tblGrid>
      <w:tr>
        <w:trPr>
          <w:trHeight w:val="1521" w:hRule="atLeast"/>
          <w:jc w:val="center"/>
        </w:trPr>
        <w:tc>
          <w:tcPr>
            <w:tcW w:w="45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仿宋" w:eastAsia="仿宋_GB2312" w:cs="仿宋_GB2312"/>
                <w:color w:val="auto"/>
                <w:sz w:val="32"/>
                <w:szCs w:val="32"/>
              </w:rPr>
            </w:pPr>
            <w:r>
              <w:rPr>
                <w:rFonts w:hint="eastAsia" w:ascii="仿宋_GB2312" w:hAnsi="仿宋" w:eastAsia="仿宋_GB2312" w:cs="仿宋_GB2312"/>
                <w:color w:val="auto"/>
                <w:sz w:val="32"/>
                <w:szCs w:val="32"/>
              </w:rPr>
              <w:t>单位名称</w:t>
            </w:r>
          </w:p>
        </w:tc>
        <w:tc>
          <w:tcPr>
            <w:tcW w:w="156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仿宋" w:eastAsia="仿宋_GB2312" w:cs="仿宋_GB2312"/>
                <w:color w:val="auto"/>
                <w:sz w:val="32"/>
                <w:szCs w:val="32"/>
              </w:rPr>
            </w:pPr>
            <w:r>
              <w:rPr>
                <w:rFonts w:hint="eastAsia" w:ascii="仿宋_GB2312" w:hAnsi="仿宋" w:eastAsia="仿宋_GB2312" w:cs="仿宋_GB2312"/>
                <w:color w:val="auto"/>
                <w:sz w:val="32"/>
                <w:szCs w:val="32"/>
              </w:rPr>
              <w:t>经费性质</w:t>
            </w:r>
          </w:p>
        </w:tc>
        <w:tc>
          <w:tcPr>
            <w:tcW w:w="1275"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仿宋" w:eastAsia="仿宋_GB2312" w:cs="仿宋_GB2312"/>
                <w:color w:val="auto"/>
                <w:sz w:val="32"/>
                <w:szCs w:val="32"/>
              </w:rPr>
            </w:pPr>
            <w:r>
              <w:rPr>
                <w:rFonts w:hint="eastAsia" w:ascii="仿宋_GB2312" w:hAnsi="仿宋" w:eastAsia="仿宋_GB2312" w:cs="仿宋_GB2312"/>
                <w:color w:val="auto"/>
                <w:sz w:val="32"/>
                <w:szCs w:val="32"/>
              </w:rPr>
              <w:t>人员编制数</w:t>
            </w:r>
          </w:p>
        </w:tc>
        <w:tc>
          <w:tcPr>
            <w:tcW w:w="99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仿宋" w:eastAsia="仿宋_GB2312" w:cs="仿宋_GB2312"/>
                <w:color w:val="auto"/>
                <w:sz w:val="32"/>
                <w:szCs w:val="32"/>
              </w:rPr>
            </w:pPr>
            <w:r>
              <w:rPr>
                <w:rFonts w:hint="eastAsia" w:ascii="仿宋_GB2312" w:hAnsi="仿宋" w:eastAsia="仿宋_GB2312" w:cs="仿宋_GB2312"/>
                <w:color w:val="auto"/>
                <w:sz w:val="32"/>
                <w:szCs w:val="32"/>
              </w:rPr>
              <w:t>在职人数</w:t>
            </w:r>
          </w:p>
        </w:tc>
      </w:tr>
      <w:tr>
        <w:trPr>
          <w:jc w:val="center"/>
        </w:trPr>
        <w:tc>
          <w:tcPr>
            <w:tcW w:w="450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中共连城县纪律检查委员会</w:t>
            </w:r>
          </w:p>
        </w:tc>
        <w:tc>
          <w:tcPr>
            <w:tcW w:w="156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财政核拨</w:t>
            </w:r>
          </w:p>
        </w:tc>
        <w:tc>
          <w:tcPr>
            <w:tcW w:w="1275"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86</w:t>
            </w:r>
          </w:p>
        </w:tc>
        <w:tc>
          <w:tcPr>
            <w:tcW w:w="993"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75</w:t>
            </w:r>
          </w:p>
        </w:tc>
      </w:tr>
      <w:tr>
        <w:trPr>
          <w:trHeight w:val="661" w:hRule="atLeast"/>
          <w:jc w:val="center"/>
        </w:trPr>
        <w:tc>
          <w:tcPr>
            <w:tcW w:w="450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连城县纪检监察警示教育中心</w:t>
            </w:r>
          </w:p>
        </w:tc>
        <w:tc>
          <w:tcPr>
            <w:tcW w:w="1560"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财政核拨</w:t>
            </w:r>
          </w:p>
        </w:tc>
        <w:tc>
          <w:tcPr>
            <w:tcW w:w="1275"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16</w:t>
            </w:r>
          </w:p>
        </w:tc>
        <w:tc>
          <w:tcPr>
            <w:tcW w:w="993" w:type="dxa"/>
            <w:tcBorders>
              <w:top w:val="single" w:color="auto" w:sz="4" w:space="0"/>
              <w:left w:val="single" w:color="auto" w:sz="4" w:space="0"/>
              <w:bottom w:val="single" w:color="auto" w:sz="4" w:space="0"/>
              <w:right w:val="single" w:color="auto" w:sz="4" w:space="0"/>
            </w:tcBorders>
            <w:vAlign w:val="top"/>
          </w:tcPr>
          <w:p>
            <w:pPr>
              <w:tabs>
                <w:tab w:val="left" w:pos="7513"/>
              </w:tabs>
              <w:adjustRightInd w:val="0"/>
              <w:snapToGrid w:val="0"/>
              <w:spacing w:line="600" w:lineRule="exact"/>
              <w:jc w:val="center"/>
              <w:rPr>
                <w:rFonts w:ascii="仿宋_GB2312" w:hAnsi="宋体" w:eastAsia="仿宋_GB2312" w:cs="Times New Roman"/>
                <w:bCs/>
                <w:color w:val="auto"/>
                <w:sz w:val="32"/>
                <w:szCs w:val="32"/>
              </w:rPr>
            </w:pPr>
            <w:r>
              <w:rPr>
                <w:rFonts w:hint="eastAsia" w:ascii="仿宋_GB2312" w:hAnsi="宋体" w:eastAsia="仿宋_GB2312" w:cs="Times New Roman"/>
                <w:bCs/>
                <w:color w:val="auto"/>
                <w:sz w:val="32"/>
                <w:szCs w:val="32"/>
              </w:rPr>
              <w:t>8</w:t>
            </w:r>
          </w:p>
        </w:tc>
      </w:tr>
    </w:tbl>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三、部门主要工作总结</w:t>
      </w:r>
    </w:p>
    <w:p>
      <w:pPr>
        <w:spacing w:line="580" w:lineRule="exact"/>
        <w:ind w:firstLine="640" w:firstLineChars="200"/>
        <w:rPr>
          <w:rFonts w:hint="eastAsia" w:ascii="仿宋_GB2312" w:eastAsia="仿宋_GB2312"/>
          <w:color w:val="auto"/>
          <w:spacing w:val="4"/>
          <w:sz w:val="32"/>
          <w:szCs w:val="32"/>
        </w:rPr>
      </w:pPr>
      <w:r>
        <w:rPr>
          <w:rFonts w:hint="eastAsia" w:ascii="仿宋_GB2312" w:hAnsi="仿宋" w:eastAsia="仿宋_GB2312"/>
          <w:color w:val="auto"/>
          <w:sz w:val="32"/>
          <w:szCs w:val="32"/>
        </w:rPr>
        <w:t>2019年，中共连城县纪委监委主要任务是：</w:t>
      </w:r>
      <w:r>
        <w:rPr>
          <w:rFonts w:hint="eastAsia" w:ascii="仿宋_GB2312" w:eastAsia="仿宋_GB2312"/>
          <w:color w:val="auto"/>
          <w:spacing w:val="4"/>
          <w:sz w:val="32"/>
          <w:szCs w:val="32"/>
        </w:rPr>
        <w:t>全县纪检监察机关坚持以习近平新时代中国特色社会主义思想为指导，认真贯彻落实十九届中央纪委三次全会、省纪委十届四次全会、市纪委五届四次全会和主题教育专题党课暨全国纪检监察工作会议部署，增强“四个意识”、坚定“四个自信”、做到“两个维护”，忠实履行党章和宪法赋予的职责，按照省委“五抓五看”“八个坚定不移”和省纪委“五抓五重”要求，坚持稳中求进、实事求是、依规依纪依法，纪检监察工作坚定稳妥、扎实有效，在高质量发展上取得新的进展、新的成绩。</w:t>
      </w:r>
      <w:r>
        <w:rPr>
          <w:rFonts w:hint="eastAsia" w:ascii="仿宋_GB2312" w:hAnsi="仿宋" w:eastAsia="仿宋_GB2312"/>
          <w:color w:val="auto"/>
          <w:sz w:val="32"/>
          <w:szCs w:val="32"/>
        </w:rPr>
        <w:t>围绕上述任务，重点完成了以下工作：</w:t>
      </w:r>
    </w:p>
    <w:p>
      <w:pPr>
        <w:spacing w:line="580" w:lineRule="exact"/>
        <w:ind w:firstLine="659" w:firstLineChars="200"/>
        <w:rPr>
          <w:rFonts w:hint="eastAsia" w:ascii="仿宋_GB2312" w:eastAsia="仿宋_GB2312"/>
          <w:color w:val="auto"/>
          <w:spacing w:val="4"/>
          <w:sz w:val="32"/>
          <w:szCs w:val="32"/>
          <w:u w:val="single"/>
        </w:rPr>
      </w:pPr>
      <w:r>
        <w:rPr>
          <w:rFonts w:hint="eastAsia" w:ascii="仿宋_GB2312" w:eastAsia="仿宋_GB2312"/>
          <w:b/>
          <w:color w:val="auto"/>
          <w:spacing w:val="4"/>
          <w:sz w:val="32"/>
          <w:szCs w:val="32"/>
        </w:rPr>
        <w:t>（一）践行“两个维护”，强化政治监督。</w:t>
      </w:r>
      <w:r>
        <w:rPr>
          <w:rFonts w:hint="eastAsia" w:ascii="仿宋_GB2312" w:eastAsia="仿宋_GB2312"/>
          <w:color w:val="auto"/>
          <w:spacing w:val="4"/>
          <w:sz w:val="32"/>
          <w:szCs w:val="32"/>
        </w:rPr>
        <w:t>深化政治理论学习，县纪委常委会旗帜鲜明讲政治，坚定地把习近平新时代中国特色社会主义思想作为做好新时代纪检监察工作的行动指南，把开展“不忘初心、牢记使命”主题教育与学习贯彻党的十九届四中全会精神贯通起来，深入开展宣传解读、集中培训、专题研讨等活动，引导全县纪检监察干部在学懂弄通上下功夫，把“四个意识”“四个自信”“两个维护”内化于心、外化于行。县纪委监委班子成员牵头开展9项重点课题调研，深入开展以“五查五问”为内容的“找差距、抓落实”活动，全面检视、研究解决影响纪检监察工作高质量发展的突出问题，将调研成果转化为务实管用的工作举措。着力强化政治监督，全县纪检监察机关认真落实省委“三四八”贯彻落实机制，认真抓好习近平总书记重要指示批示精神特别是涉及龙岩的工作任务贯彻落实情况的监督检查，加强对打好“三大攻坚战”、实施“项目建设年”活动、机构改革、减税降费、违建别墅清查整治等专项监督。认真履行协助职责，协助县委召开全面从严治党形势分析会，开展2018年度主体责任落实情况检查，抓好市对县主体责任检查整改情况的监督检查。坚持从政治纪律的角度审视违纪违法问题，坚决查处违反政治纪律行为，严明政治纪律和政治规矩。</w:t>
      </w:r>
    </w:p>
    <w:p>
      <w:pPr>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（二）站稳人民立场，坚决整治群众身边的腐败和作风问题。</w:t>
      </w:r>
      <w:r>
        <w:rPr>
          <w:rFonts w:hint="eastAsia" w:ascii="仿宋_GB2312" w:eastAsia="仿宋_GB2312"/>
          <w:color w:val="auto"/>
          <w:spacing w:val="4"/>
          <w:sz w:val="32"/>
          <w:szCs w:val="32"/>
        </w:rPr>
        <w:t>积极践行“四下基层”优良作风，深入开展“四访”活动，推动群众反映的问题化解在早、化解在小、化解在基层。聚焦漠视侵害群众利益的问题开展专项整治，公开专项整治成果。持续深化扶贫领域腐败和作风问题专项治理，盯紧硬指标、硬政策、硬责任落实，对已脱贫的建档立卡贫困户按照不低于20%比例随机抽访。深化民生领域突出问题专项治理，围绕教育医疗、环境保护、食品药品安全、民生资金等领域突出问题深化专项整治，推动解决公立医院违规收费、基层干部优亲厚友等一批事关群众切身利益的问题。深化涉黑涉恶腐败专项治理，把惩治“蝇贪”同扫黑除恶结合起来，深挖涉黑涉恶腐败问题和“保护伞”。配合做好中央、省扫黑除恶专项督导“回头看”工作，认真抓好专项督导反馈问题的整改工作。</w:t>
      </w:r>
    </w:p>
    <w:p>
      <w:pPr>
        <w:pBdr>
          <w:bottom w:val="single" w:color="FFFFFF" w:sz="4" w:space="0"/>
        </w:pBdr>
        <w:tabs>
          <w:tab w:val="left" w:pos="1440"/>
        </w:tabs>
        <w:adjustRightInd w:val="0"/>
        <w:snapToGrid w:val="0"/>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（三）加强党的全面领导，持续深化纪检监察体制改革。</w:t>
      </w:r>
      <w:r>
        <w:rPr>
          <w:rFonts w:hint="eastAsia" w:ascii="仿宋_GB2312" w:eastAsia="仿宋_GB2312"/>
          <w:color w:val="auto"/>
          <w:spacing w:val="4"/>
          <w:sz w:val="32"/>
          <w:szCs w:val="32"/>
        </w:rPr>
        <w:t>坚持党对纪检监察工作全覆盖、全过程领导，一体推进“三项改革”。在新的起点上深化国家监察体制改革，县监委向17个乡（镇）派出监察组，把监察法规定的六类监察对象纳入监督范围。稳步推进派驻机构改革，制定派驻机构改革实施意见和方案，推动设立17个驻县级党政机关纪检监察组，赋予相应监察权，进一步发挥“派”的权威和“驻”的优势。全面贯彻监察法，依法行使监察权                                                                                                                                                                                                                                                                                                                                                                                                                                                                                                                                                                                                                                                                                                                                                                                                                                                                                                                                                                                                                                                                                                                                                                                                                                                                                                                                                                                                                                                                                                                                                                                                                                                                                                                                                                                                                                                                                                                                                                                                                                                                                                                                                                                                                                                                                                                                                    努力实现政治效果、纪法效果、社会效果相统一。认真执行《纪律检查机关监督执纪工作规则》和《监察机关监督执法工作规定》，严格按制度规定做好监督检查审查调查措施使用、办案安全、涉案财物管理等工作，切实加强对执纪执法权力的约束。深化内部工作流程再造，修订完善4项制度和8项审查调查流程。推进执纪执法贯通、有效衔接司法，加强县监委与检察机关、审判机关、执法部门在线索移交、调查措施使用、案件移送、个案会商等方面的协调衔接，建立健全相关工作机制，进一步把制度优势转化为治理效能。</w:t>
      </w:r>
    </w:p>
    <w:p>
      <w:pPr>
        <w:pBdr>
          <w:bottom w:val="single" w:color="FFFFFF" w:sz="4" w:space="0"/>
        </w:pBdr>
        <w:tabs>
          <w:tab w:val="left" w:pos="1440"/>
        </w:tabs>
        <w:snapToGrid w:val="0"/>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（四）聚焦监督第一职责，着力提高监督效能。</w:t>
      </w:r>
      <w:r>
        <w:rPr>
          <w:rFonts w:hint="eastAsia" w:ascii="仿宋_GB2312" w:eastAsia="仿宋_GB2312"/>
          <w:color w:val="auto"/>
          <w:spacing w:val="4"/>
          <w:sz w:val="32"/>
          <w:szCs w:val="32"/>
        </w:rPr>
        <w:t>综合运用平时观察、信访受理、线索处置、约谈提醒、民主生活会督导等方式，加强对领导班子和领导干部的监督，做实党内政治生活监督。健全完善监督工作机制，制定日常监督清单，以“五在一线”为抓手推进监督常态化、可视化。开展政治生态专题调研和分析，</w:t>
      </w:r>
      <w:r>
        <w:rPr>
          <w:rFonts w:hint="eastAsia" w:ascii="仿宋_GB2312" w:eastAsia="仿宋_GB2312"/>
          <w:snapToGrid w:val="0"/>
          <w:color w:val="auto"/>
          <w:spacing w:val="4"/>
          <w:kern w:val="0"/>
          <w:sz w:val="32"/>
          <w:szCs w:val="32"/>
        </w:rPr>
        <w:t>深化运用党风廉政建设成效评价结果，</w:t>
      </w:r>
      <w:r>
        <w:rPr>
          <w:rFonts w:hint="eastAsia" w:ascii="仿宋_GB2312" w:eastAsia="仿宋_GB2312"/>
          <w:color w:val="auto"/>
          <w:spacing w:val="4"/>
          <w:sz w:val="32"/>
          <w:szCs w:val="32"/>
        </w:rPr>
        <w:t>动态分析领导班子、领导干部廉洁情况</w:t>
      </w:r>
      <w:r>
        <w:rPr>
          <w:rFonts w:hint="eastAsia" w:ascii="仿宋_GB2312" w:eastAsia="仿宋_GB2312"/>
          <w:snapToGrid w:val="0"/>
          <w:color w:val="auto"/>
          <w:spacing w:val="4"/>
          <w:kern w:val="0"/>
          <w:sz w:val="32"/>
          <w:szCs w:val="32"/>
        </w:rPr>
        <w:t>。落实函询了结情况反馈制度，</w:t>
      </w:r>
      <w:r>
        <w:rPr>
          <w:rFonts w:hint="eastAsia" w:ascii="仿宋_GB2312" w:eastAsia="仿宋_GB2312"/>
          <w:color w:val="auto"/>
          <w:spacing w:val="4"/>
          <w:sz w:val="32"/>
          <w:szCs w:val="32"/>
        </w:rPr>
        <w:t>动态更新领导干部廉政档案，严把选人用人的政治关、品行关、作风关、廉洁关，县纪委监委共办理218人次廉政意见回复。创新监督方式，率先在全市全面推行“互联网+村级事务”阳光公开。强化信访监督，推进检举举报平台和信访举报分级录入扫描试点工作，进一步畅通群众反映情况、开展监督的渠道。持续落实“1+X”工作机制，推动监督检查、发现问题、督促整改有序衔接。坚持严管厚爱结合、激励约束并重，坚持实事求是、综合考量、程序正义，准确妥善运用“四种形态”。严格执行纪检监察不实信访举报了结澄清工作办法，及时为干部澄清正名。</w:t>
      </w:r>
    </w:p>
    <w:p>
      <w:pPr>
        <w:pBdr>
          <w:bottom w:val="single" w:color="FFFFFF" w:sz="4" w:space="0"/>
        </w:pBdr>
        <w:tabs>
          <w:tab w:val="left" w:pos="1440"/>
        </w:tabs>
        <w:snapToGrid w:val="0"/>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（五）持续纠正“四风”，推动作风建设深抓实做。</w:t>
      </w:r>
      <w:r>
        <w:rPr>
          <w:rFonts w:hint="eastAsia" w:ascii="仿宋_GB2312" w:eastAsia="仿宋_GB2312"/>
          <w:color w:val="auto"/>
          <w:spacing w:val="4"/>
          <w:sz w:val="32"/>
          <w:szCs w:val="32"/>
        </w:rPr>
        <w:t>深入贯彻习近平总书记关于作风建设重要批示精神，保持定力，锲而不舍深入落实中央八项规定及其实施细则精神。全县共查处违反中央八项规定精神问题，对典型问题公开曝光。坚持重要节点提醒警示，协助县委召开全县作风建设警示教育大会，持续传导压力。围绕落实中央八项规定精神配套制度中存在的空白、短板，持续推动有关职能部门出台制度规定，扎紧制度笼子，构建作风建设长效机制。协助县委开展形式主义、官僚主义集中整治，对党中央关于解决形式主义突出问题为基层减负政策举措贯彻落实情况开展监督检查，县级层面发文、召开会议分别同比下降45%、50.2%，督查检查考核同比减少57.1%。坚决查纠不作为、慢作为、乱作为行为。深化落实市委2号文件精神，坚持“纠”“树”并举，巩固拓展公款存储、送收礼金、“阳光招生”、移风易俗等专项治理成果，推动社风民风持续好转。深入开展“一镇一孝廉、清风润连城”创建活动，全县评选出18个孝廉典型人物，通过设立孝廉人物展馆、举办孝廉文化讲堂、讲诵孝廉人物故事、推进孝廉故事进校园等形式大力弘扬孝廉文化，涵养清正廉洁价值理念。</w:t>
      </w:r>
    </w:p>
    <w:p>
      <w:pPr>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（六）坚定不移深化政治巡察，充分发挥巡察监督利剑作用。</w:t>
      </w:r>
      <w:r>
        <w:rPr>
          <w:rFonts w:hint="eastAsia" w:ascii="仿宋_GB2312" w:eastAsia="仿宋_GB2312"/>
          <w:color w:val="auto"/>
          <w:spacing w:val="4"/>
          <w:sz w:val="32"/>
          <w:szCs w:val="32"/>
        </w:rPr>
        <w:t>聚焦落实党的路线方针政策和党中央决策部署、全面从严治党战略部署、新时代党的组织路线、巡察整改，着力发现问题、形成震慑、推动改革、促进发展。完成2轮4批常规巡察、1轮2批县级交叉巡察和1轮县级扶贫领域专项巡察，共巡察41个党组织。巩固提升巡察向村级延伸工作成果，协助县委率先在全市出台《</w:t>
      </w:r>
      <w:r>
        <w:rPr>
          <w:rFonts w:hint="eastAsia" w:ascii="仿宋_GB2312" w:eastAsia="仿宋_GB2312"/>
          <w:bCs/>
          <w:color w:val="auto"/>
          <w:spacing w:val="4"/>
          <w:sz w:val="32"/>
          <w:szCs w:val="32"/>
        </w:rPr>
        <w:t>关于进一步深化村级巡察工作的意见》，制定相关配套文件，</w:t>
      </w:r>
      <w:r>
        <w:rPr>
          <w:rFonts w:hint="eastAsia" w:ascii="仿宋_GB2312" w:eastAsia="仿宋_GB2312"/>
          <w:color w:val="auto"/>
          <w:spacing w:val="4"/>
          <w:sz w:val="32"/>
          <w:szCs w:val="32"/>
        </w:rPr>
        <w:t>提高村级巡察制度化、规范化和长效化水平。对换届后的42个村（社区）开展巡察及上轮巡察整改情况“回头看”。强化巡察成果综合运用，向县委和县政府分管领导及时通报巡察情况，将巡察专题报告报送有关职能部门参考。认真实施县委巡察整改落实和成果运用“九项机制”，持续开展未巡先改工作，坚持县委书记约谈被巡察党委（党组）书记，压实整改责任。协助县委抓好省委巡视反馈问题整改，对县委巡察整改落实情况进行全程跟踪督查，推动被巡察单位建立健全制度550余项。积极稳妥推进巡察规范化建设，不断完善巡察机制制度。</w:t>
      </w:r>
    </w:p>
    <w:p>
      <w:pPr>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（七）深化标本兼治，巩固发展反腐败斗争压倒性胜利。</w:t>
      </w:r>
      <w:r>
        <w:rPr>
          <w:rFonts w:hint="eastAsia" w:ascii="仿宋_GB2312" w:eastAsia="仿宋_GB2312"/>
          <w:color w:val="auto"/>
          <w:spacing w:val="4"/>
          <w:sz w:val="32"/>
          <w:szCs w:val="32"/>
        </w:rPr>
        <w:t>坚持统筹谋划，一体推进不敢腐、不能腐、不想腐。坚持依规依纪依法、安全文明办案，持续落实审查调查动态通报、集体研究、请示报告、留置对象家访、开展专项检查等制度，推动审查调查高质量发展。深化以案促改，认真总结分析审查调查、巡视巡察、监督检查中发现的体制机制问题和制度漏洞，推动职能部门加大改革力度，补齐制度短板。加强对村级权力运行的制约和监督，率先在全市推行村级权力运行清单化管理机制，构建起行得通、管得住的村级权力监督平台，以“阳光权力”促进“微权力”公开透明运行。深化以案为鉴，协助县委召开全县领导干部警示教育大会，督促发案单位开展警示教育，召开专题民主生活会，举一反三、剖析根源，增强警示教育震慑效果。做实审查调查“后半篇文章”，率先在全市建立“五面对三重温两报告一监督”案后教育整改机制，把严管和厚爱结合的重要要求落到实处，推动案件查处向修复净化政治生态转化。</w:t>
      </w:r>
    </w:p>
    <w:p>
      <w:pPr>
        <w:spacing w:line="580" w:lineRule="exact"/>
        <w:ind w:firstLine="659" w:firstLineChars="200"/>
        <w:rPr>
          <w:rFonts w:hint="eastAsia" w:ascii="仿宋_GB2312" w:eastAsia="仿宋_GB2312"/>
          <w:color w:val="auto"/>
          <w:spacing w:val="4"/>
          <w:sz w:val="32"/>
          <w:szCs w:val="32"/>
        </w:rPr>
      </w:pPr>
      <w:r>
        <w:rPr>
          <w:rFonts w:hint="eastAsia" w:ascii="仿宋_GB2312" w:eastAsia="仿宋_GB2312"/>
          <w:b/>
          <w:color w:val="auto"/>
          <w:spacing w:val="4"/>
          <w:sz w:val="32"/>
          <w:szCs w:val="32"/>
        </w:rPr>
        <w:t>（八）强化自身建设，建设忠诚干净担当的纪检监察干部队伍。</w:t>
      </w:r>
      <w:r>
        <w:rPr>
          <w:rFonts w:hint="eastAsia" w:ascii="仿宋_GB2312" w:eastAsia="仿宋_GB2312"/>
          <w:color w:val="auto"/>
          <w:spacing w:val="4"/>
          <w:sz w:val="32"/>
          <w:szCs w:val="32"/>
        </w:rPr>
        <w:t>坚持以党建和机关文化引领模范机关建设，县纪委机关党支部被市委评为先进基层党组织。高标准严要求抓好委机关“不忘初心、牢记使命”主题教育，全面提高纪检监察干部的理论素养、政治站位、境界情怀。深入贯彻落实《关于加强纪检监察队伍建设若干意见（试行）》，坚持把政治标准放在第一位，选优配强纪检监察干部，加大干部内外交流力度，不断增强队伍活力。持续实施干部队伍能力提升工程，落实全员培训要求，开展纪检监察工作高质量发展集中学习研讨月活动，大力开展纪法培训、技能培训、安全培训、全员考试、实战练兵、队伍整训，全年组织27批664人次参加各级各类培训，纪检监察干部能力素质和业务水平得到全方位提升。坚持刀刃向内</w:t>
      </w:r>
      <w:r>
        <w:rPr>
          <w:rFonts w:hint="eastAsia" w:ascii="仿宋_GB2312" w:eastAsia="仿宋_GB2312"/>
          <w:color w:val="auto"/>
          <w:spacing w:val="4"/>
          <w:sz w:val="32"/>
          <w:szCs w:val="36"/>
        </w:rPr>
        <w:t>强化自我监督，严格工作规程，</w:t>
      </w:r>
      <w:r>
        <w:rPr>
          <w:rFonts w:hint="eastAsia" w:ascii="仿宋_GB2312" w:eastAsia="仿宋_GB2312"/>
          <w:color w:val="auto"/>
          <w:spacing w:val="4"/>
          <w:sz w:val="32"/>
          <w:szCs w:val="32"/>
        </w:rPr>
        <w:t>健全内控机制，严格按照法定权限、规则、程序办事。</w:t>
      </w:r>
      <w:r>
        <w:rPr>
          <w:rFonts w:hint="eastAsia" w:ascii="仿宋_GB2312" w:eastAsia="仿宋_GB2312"/>
          <w:color w:val="auto"/>
          <w:spacing w:val="4"/>
          <w:sz w:val="32"/>
          <w:szCs w:val="36"/>
        </w:rPr>
        <w:t>严格执行纪检监察干部</w:t>
      </w:r>
      <w:r>
        <w:rPr>
          <w:rFonts w:hint="eastAsia" w:ascii="仿宋_GB2312" w:eastAsia="仿宋_GB2312"/>
          <w:color w:val="auto"/>
          <w:spacing w:val="4"/>
          <w:sz w:val="32"/>
          <w:szCs w:val="32"/>
        </w:rPr>
        <w:t>“六带头、六严禁”行为规范、</w:t>
      </w:r>
      <w:r>
        <w:rPr>
          <w:rFonts w:hint="eastAsia" w:ascii="仿宋_GB2312" w:eastAsia="仿宋_GB2312"/>
          <w:color w:val="auto"/>
          <w:spacing w:val="4"/>
          <w:sz w:val="32"/>
          <w:szCs w:val="36"/>
        </w:rPr>
        <w:t>纪检监察干部打听案情过问案件说情干预情况登记备案制度，组织全县纪检监察干部填报个人有关事项报告表，坚决防范被“围猎”，坚决防止“灯下黑”。</w:t>
      </w:r>
    </w:p>
    <w:p>
      <w:pPr>
        <w:spacing w:line="600" w:lineRule="exact"/>
        <w:jc w:val="center"/>
        <w:rPr>
          <w:rFonts w:hint="eastAsia" w:ascii="黑体" w:hAnsi="黑体" w:eastAsia="黑体"/>
          <w:color w:val="auto"/>
          <w:sz w:val="36"/>
          <w:szCs w:val="36"/>
        </w:rPr>
      </w:pPr>
    </w:p>
    <w:p>
      <w:pPr>
        <w:spacing w:line="600" w:lineRule="exact"/>
        <w:jc w:val="center"/>
        <w:rPr>
          <w:rFonts w:hint="eastAsia" w:ascii="黑体" w:hAnsi="黑体" w:eastAsia="黑体"/>
          <w:color w:val="auto"/>
          <w:sz w:val="36"/>
          <w:szCs w:val="36"/>
        </w:rPr>
      </w:pPr>
    </w:p>
    <w:p>
      <w:pPr>
        <w:spacing w:line="600" w:lineRule="exact"/>
        <w:jc w:val="center"/>
        <w:rPr>
          <w:rFonts w:ascii="黑体" w:hAnsi="黑体" w:eastAsia="黑体"/>
          <w:color w:val="auto"/>
          <w:sz w:val="36"/>
          <w:szCs w:val="36"/>
        </w:rPr>
      </w:pPr>
      <w:r>
        <w:rPr>
          <w:rFonts w:hint="eastAsia" w:ascii="黑体" w:hAnsi="黑体" w:eastAsia="黑体"/>
          <w:color w:val="auto"/>
          <w:sz w:val="36"/>
          <w:szCs w:val="36"/>
        </w:rPr>
        <w:t>第二部分 2019年度部门决算表</w:t>
      </w:r>
    </w:p>
    <w:p>
      <w:pPr>
        <w:pStyle w:val="7"/>
        <w:numPr>
          <w:ilvl w:val="0"/>
          <w:numId w:val="1"/>
        </w:numPr>
        <w:ind w:firstLineChars="0"/>
        <w:jc w:val="left"/>
        <w:rPr>
          <w:rFonts w:hint="eastAsia" w:ascii="黑体" w:hAnsi="仿宋" w:eastAsia="黑体"/>
          <w:color w:val="auto"/>
          <w:sz w:val="32"/>
          <w:szCs w:val="32"/>
        </w:rPr>
      </w:pPr>
      <w:r>
        <w:rPr>
          <w:rFonts w:hint="eastAsia" w:ascii="黑体" w:hAnsi="仿宋" w:eastAsia="黑体"/>
          <w:color w:val="auto"/>
          <w:sz w:val="32"/>
          <w:szCs w:val="32"/>
        </w:rPr>
        <w:t xml:space="preserve">收入支出决算总表 </w:t>
      </w:r>
    </w:p>
    <w:tbl>
      <w:tblPr>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5"/>
        <w:gridCol w:w="1143"/>
        <w:gridCol w:w="2665"/>
        <w:gridCol w:w="453"/>
        <w:gridCol w:w="1843"/>
      </w:tblGrid>
      <w:tr>
        <w:trPr>
          <w:trHeight w:val="540" w:hRule="atLeast"/>
        </w:trPr>
        <w:tc>
          <w:tcPr>
            <w:tcW w:w="9229" w:type="dxa"/>
            <w:gridSpan w:val="5"/>
            <w:tcBorders>
              <w:top w:val="nil"/>
              <w:left w:val="nil"/>
              <w:bottom w:val="nil"/>
              <w:right w:val="nil"/>
            </w:tcBorders>
            <w:vAlign w:val="center"/>
          </w:tcPr>
          <w:p>
            <w:pPr>
              <w:widowControl/>
              <w:spacing w:line="240" w:lineRule="auto"/>
              <w:jc w:val="center"/>
              <w:rPr>
                <w:rFonts w:ascii="宋体" w:hAnsi="宋体" w:eastAsia="宋体" w:cs="Arial"/>
                <w:color w:val="auto"/>
                <w:kern w:val="0"/>
                <w:sz w:val="44"/>
                <w:szCs w:val="44"/>
              </w:rPr>
            </w:pPr>
            <w:r>
              <w:rPr>
                <w:rFonts w:hint="eastAsia" w:ascii="宋体" w:hAnsi="宋体" w:eastAsia="宋体" w:cs="Arial"/>
                <w:color w:val="auto"/>
                <w:kern w:val="0"/>
                <w:sz w:val="44"/>
                <w:szCs w:val="44"/>
              </w:rPr>
              <w:t>收支决算总表</w:t>
            </w:r>
          </w:p>
        </w:tc>
      </w:tr>
      <w:tr>
        <w:trPr>
          <w:trHeight w:val="255" w:hRule="atLeast"/>
        </w:trPr>
        <w:tc>
          <w:tcPr>
            <w:tcW w:w="6933" w:type="dxa"/>
            <w:gridSpan w:val="3"/>
            <w:tcBorders>
              <w:top w:val="nil"/>
              <w:left w:val="nil"/>
              <w:bottom w:val="single" w:color="auto" w:sz="4" w:space="0"/>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0"/>
                <w:szCs w:val="20"/>
              </w:rPr>
              <w:t>编制单位：中国共产党连城县纪律检查委员会</w:t>
            </w:r>
            <w:r>
              <w:rPr>
                <w:rFonts w:hint="eastAsia" w:ascii="Arial" w:hAnsi="Arial" w:eastAsia="宋体" w:cs="Arial"/>
                <w:color w:val="auto"/>
                <w:kern w:val="0"/>
                <w:sz w:val="20"/>
                <w:szCs w:val="20"/>
              </w:rPr>
              <w:t xml:space="preserve">                       </w:t>
            </w:r>
          </w:p>
        </w:tc>
        <w:tc>
          <w:tcPr>
            <w:tcW w:w="2296" w:type="dxa"/>
            <w:gridSpan w:val="2"/>
            <w:tcBorders>
              <w:top w:val="nil"/>
              <w:left w:val="nil"/>
              <w:bottom w:val="single" w:color="auto" w:sz="4" w:space="0"/>
              <w:right w:val="nil"/>
            </w:tcBorders>
            <w:vAlign w:val="bottom"/>
          </w:tcPr>
          <w:p>
            <w:pPr>
              <w:widowControl/>
              <w:spacing w:line="240" w:lineRule="auto"/>
              <w:ind w:right="400"/>
              <w:rPr>
                <w:rFonts w:ascii="宋体" w:hAnsi="宋体" w:eastAsia="宋体" w:cs="Arial"/>
                <w:color w:val="auto"/>
                <w:kern w:val="0"/>
                <w:sz w:val="20"/>
                <w:szCs w:val="20"/>
              </w:rPr>
            </w:pPr>
            <w:r>
              <w:rPr>
                <w:rFonts w:hint="eastAsia" w:ascii="宋体" w:hAnsi="宋体" w:eastAsia="宋体" w:cs="Arial"/>
                <w:color w:val="auto"/>
                <w:kern w:val="0"/>
                <w:sz w:val="20"/>
                <w:szCs w:val="20"/>
              </w:rPr>
              <w:t>金额单位： 万元</w:t>
            </w:r>
          </w:p>
        </w:tc>
      </w:tr>
      <w:tr>
        <w:trPr>
          <w:trHeight w:val="308" w:hRule="atLeast"/>
        </w:trPr>
        <w:tc>
          <w:tcPr>
            <w:tcW w:w="4268" w:type="dxa"/>
            <w:gridSpan w:val="2"/>
            <w:tcBorders>
              <w:top w:val="single" w:color="auto" w:sz="4" w:space="0"/>
              <w:left w:val="single" w:color="auto"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收入</w:t>
            </w:r>
          </w:p>
        </w:tc>
        <w:tc>
          <w:tcPr>
            <w:tcW w:w="4961" w:type="dxa"/>
            <w:gridSpan w:val="3"/>
            <w:tcBorders>
              <w:top w:val="single" w:color="auto" w:sz="4" w:space="0"/>
              <w:left w:val="nil"/>
              <w:bottom w:val="single" w:color="000000" w:sz="4" w:space="0"/>
              <w:right w:val="single" w:color="auto"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支出</w:t>
            </w:r>
          </w:p>
        </w:tc>
      </w:tr>
      <w:tr>
        <w:trPr>
          <w:trHeight w:val="308" w:hRule="atLeast"/>
        </w:trPr>
        <w:tc>
          <w:tcPr>
            <w:tcW w:w="3125" w:type="dxa"/>
            <w:tcBorders>
              <w:top w:val="nil"/>
              <w:left w:val="single" w:color="auto"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w:t>
            </w:r>
          </w:p>
        </w:tc>
        <w:tc>
          <w:tcPr>
            <w:tcW w:w="1143"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决算数</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项目(按支出功能分类)</w:t>
            </w:r>
          </w:p>
        </w:tc>
        <w:tc>
          <w:tcPr>
            <w:tcW w:w="1843" w:type="dxa"/>
            <w:tcBorders>
              <w:top w:val="nil"/>
              <w:left w:val="nil"/>
              <w:bottom w:val="single" w:color="000000" w:sz="4" w:space="0"/>
              <w:right w:val="single" w:color="auto"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决算数</w:t>
            </w:r>
          </w:p>
        </w:tc>
      </w:tr>
      <w:tr>
        <w:trPr>
          <w:trHeight w:val="308" w:hRule="atLeast"/>
        </w:trPr>
        <w:tc>
          <w:tcPr>
            <w:tcW w:w="3125" w:type="dxa"/>
            <w:tcBorders>
              <w:top w:val="nil"/>
              <w:left w:val="single" w:color="auto"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一、一般公共预算财政拨款收入</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1,211.62</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一、一般公共服务支出</w:t>
            </w:r>
          </w:p>
        </w:tc>
        <w:tc>
          <w:tcPr>
            <w:tcW w:w="1843" w:type="dxa"/>
            <w:tcBorders>
              <w:top w:val="nil"/>
              <w:left w:val="nil"/>
              <w:bottom w:val="single" w:color="000000" w:sz="4" w:space="0"/>
              <w:right w:val="single" w:color="auto"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1,340.83</w:t>
            </w:r>
          </w:p>
        </w:tc>
      </w:tr>
      <w:tr>
        <w:trPr>
          <w:trHeight w:val="308" w:hRule="atLeast"/>
        </w:trPr>
        <w:tc>
          <w:tcPr>
            <w:tcW w:w="3125" w:type="dxa"/>
            <w:tcBorders>
              <w:top w:val="nil"/>
              <w:left w:val="single" w:color="auto"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二、政府性基金预算财政拨款收入</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二、外交支出</w:t>
            </w:r>
          </w:p>
        </w:tc>
        <w:tc>
          <w:tcPr>
            <w:tcW w:w="1843" w:type="dxa"/>
            <w:tcBorders>
              <w:top w:val="nil"/>
              <w:left w:val="nil"/>
              <w:bottom w:val="single" w:color="000000" w:sz="4" w:space="0"/>
              <w:right w:val="single" w:color="auto"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auto"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三、上级补助收入</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三、国防支出</w:t>
            </w:r>
          </w:p>
        </w:tc>
        <w:tc>
          <w:tcPr>
            <w:tcW w:w="1843" w:type="dxa"/>
            <w:tcBorders>
              <w:top w:val="nil"/>
              <w:left w:val="nil"/>
              <w:bottom w:val="single" w:color="000000" w:sz="4" w:space="0"/>
              <w:right w:val="single" w:color="auto"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auto"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四、事业收入</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四、公共安全支出</w:t>
            </w:r>
          </w:p>
        </w:tc>
        <w:tc>
          <w:tcPr>
            <w:tcW w:w="1843" w:type="dxa"/>
            <w:tcBorders>
              <w:top w:val="nil"/>
              <w:left w:val="nil"/>
              <w:bottom w:val="single" w:color="000000" w:sz="4" w:space="0"/>
              <w:right w:val="single" w:color="auto"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auto" w:sz="4" w:space="0"/>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五、经营收入</w:t>
            </w:r>
          </w:p>
        </w:tc>
        <w:tc>
          <w:tcPr>
            <w:tcW w:w="1143" w:type="dxa"/>
            <w:tcBorders>
              <w:top w:val="nil"/>
              <w:left w:val="nil"/>
              <w:bottom w:val="single" w:color="auto"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五、教育支出</w:t>
            </w:r>
          </w:p>
        </w:tc>
        <w:tc>
          <w:tcPr>
            <w:tcW w:w="1843" w:type="dxa"/>
            <w:tcBorders>
              <w:top w:val="nil"/>
              <w:left w:val="nil"/>
              <w:bottom w:val="single" w:color="auto" w:sz="4" w:space="0"/>
              <w:right w:val="single" w:color="auto"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single" w:color="auto" w:sz="4"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六、附属单位上缴收入</w:t>
            </w:r>
          </w:p>
        </w:tc>
        <w:tc>
          <w:tcPr>
            <w:tcW w:w="1143"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single" w:color="auto"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六、科学技术支出</w:t>
            </w:r>
          </w:p>
        </w:tc>
        <w:tc>
          <w:tcPr>
            <w:tcW w:w="1843"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七、其他收入</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202.80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七、文化旅游体育与传媒支出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八、社会保障和就业支出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九、卫生健康支出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十、节能环保支出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十一、城乡社区支出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十二、农林水支出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十三、交通运输支出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十四、资源勘探信息等支出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十五、商业服务业等支出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十六、金融支出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十七、援助其他地区支出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十八、自然资源海洋气象等支出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十九、住房保障支出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二十、粮油物资储备支出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二十一、灾害防治及应急管理支出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二十二、其他支出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二十三、债务还本支出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二十四、债务付息支出</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本年收入合计</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1,414.42</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本年支出合计</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1,340.83</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用事业基金弥补收支差额</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结余分配</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年初结转和结余</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年末结转和结余</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73.59</w:t>
            </w:r>
          </w:p>
        </w:tc>
      </w:tr>
      <w:tr>
        <w:trPr>
          <w:trHeight w:val="308" w:hRule="atLeast"/>
        </w:trPr>
        <w:tc>
          <w:tcPr>
            <w:tcW w:w="3125"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合计</w:t>
            </w:r>
          </w:p>
        </w:tc>
        <w:tc>
          <w:tcPr>
            <w:tcW w:w="11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1,414.42</w:t>
            </w:r>
          </w:p>
        </w:tc>
        <w:tc>
          <w:tcPr>
            <w:tcW w:w="3118"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合计</w:t>
            </w:r>
          </w:p>
        </w:tc>
        <w:tc>
          <w:tcPr>
            <w:tcW w:w="184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1,414.42</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ind w:left="720" w:firstLine="0" w:firstLineChars="0"/>
        <w:jc w:val="left"/>
        <w:rPr>
          <w:rFonts w:hint="eastAsia" w:ascii="黑体" w:hAnsi="仿宋" w:eastAsia="黑体"/>
          <w:color w:val="auto"/>
          <w:sz w:val="32"/>
          <w:szCs w:val="32"/>
        </w:rPr>
      </w:pPr>
    </w:p>
    <w:p>
      <w:pPr>
        <w:pStyle w:val="7"/>
        <w:ind w:left="720" w:firstLine="0" w:firstLineChars="0"/>
        <w:jc w:val="left"/>
        <w:rPr>
          <w:rFonts w:hint="eastAsia" w:ascii="黑体" w:hAnsi="仿宋" w:eastAsia="黑体"/>
          <w:color w:val="auto"/>
          <w:sz w:val="32"/>
          <w:szCs w:val="32"/>
        </w:rPr>
      </w:pPr>
    </w:p>
    <w:p>
      <w:pPr>
        <w:pStyle w:val="7"/>
        <w:ind w:left="720" w:firstLine="0" w:firstLineChars="0"/>
        <w:jc w:val="left"/>
        <w:rPr>
          <w:rFonts w:ascii="黑体" w:hAnsi="仿宋" w:eastAsia="黑体"/>
          <w:color w:val="auto"/>
          <w:sz w:val="32"/>
          <w:szCs w:val="32"/>
        </w:rPr>
      </w:pP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 xml:space="preserve">收入决算表 </w:t>
      </w:r>
    </w:p>
    <w:tbl>
      <w:tblPr>
        <w:tblW w:w="88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874"/>
        <w:gridCol w:w="992"/>
        <w:gridCol w:w="992"/>
        <w:gridCol w:w="559"/>
        <w:gridCol w:w="150"/>
        <w:gridCol w:w="709"/>
        <w:gridCol w:w="11"/>
        <w:gridCol w:w="698"/>
        <w:gridCol w:w="708"/>
        <w:gridCol w:w="851"/>
      </w:tblGrid>
      <w:tr>
        <w:trPr>
          <w:trHeight w:val="600" w:hRule="atLeast"/>
        </w:trPr>
        <w:tc>
          <w:tcPr>
            <w:tcW w:w="8804" w:type="dxa"/>
            <w:gridSpan w:val="11"/>
            <w:tcBorders>
              <w:top w:val="nil"/>
              <w:left w:val="nil"/>
              <w:bottom w:val="nil"/>
              <w:right w:val="nil"/>
            </w:tcBorders>
            <w:vAlign w:val="bottom"/>
          </w:tcPr>
          <w:p>
            <w:pPr>
              <w:widowControl/>
              <w:spacing w:line="240" w:lineRule="auto"/>
              <w:jc w:val="center"/>
              <w:rPr>
                <w:rFonts w:ascii="宋体" w:hAnsi="宋体" w:eastAsia="宋体" w:cs="Arial"/>
                <w:color w:val="auto"/>
                <w:kern w:val="0"/>
                <w:sz w:val="44"/>
                <w:szCs w:val="44"/>
              </w:rPr>
            </w:pPr>
            <w:r>
              <w:rPr>
                <w:rFonts w:hint="eastAsia" w:ascii="黑体" w:hAnsi="Arial" w:eastAsia="黑体" w:cs="Arial"/>
                <w:color w:val="auto"/>
                <w:kern w:val="0"/>
                <w:sz w:val="36"/>
                <w:szCs w:val="36"/>
              </w:rPr>
              <w:t>收入决算表</w:t>
            </w:r>
          </w:p>
        </w:tc>
      </w:tr>
      <w:tr>
        <w:trPr>
          <w:trHeight w:val="315" w:hRule="atLeast"/>
        </w:trPr>
        <w:tc>
          <w:tcPr>
            <w:tcW w:w="5677" w:type="dxa"/>
            <w:gridSpan w:val="5"/>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r>
              <w:rPr>
                <w:rFonts w:hint="eastAsia" w:ascii="Arial" w:hAnsi="Arial" w:eastAsia="宋体" w:cs="Arial"/>
                <w:color w:val="auto"/>
                <w:kern w:val="0"/>
                <w:sz w:val="20"/>
                <w:szCs w:val="20"/>
              </w:rPr>
              <w:t xml:space="preserve"> </w:t>
            </w:r>
          </w:p>
        </w:tc>
        <w:tc>
          <w:tcPr>
            <w:tcW w:w="870" w:type="dxa"/>
            <w:gridSpan w:val="3"/>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p>
        </w:tc>
        <w:tc>
          <w:tcPr>
            <w:tcW w:w="2257" w:type="dxa"/>
            <w:gridSpan w:val="3"/>
            <w:tcBorders>
              <w:top w:val="nil"/>
              <w:left w:val="nil"/>
              <w:bottom w:val="nil"/>
              <w:right w:val="nil"/>
            </w:tcBorders>
            <w:vAlign w:val="bottom"/>
          </w:tcPr>
          <w:p>
            <w:pPr>
              <w:widowControl/>
              <w:spacing w:line="240" w:lineRule="auto"/>
              <w:jc w:val="right"/>
              <w:rPr>
                <w:rFonts w:ascii="宋体" w:hAnsi="宋体" w:eastAsia="宋体" w:cs="Arial"/>
                <w:color w:val="auto"/>
                <w:kern w:val="0"/>
                <w:sz w:val="24"/>
                <w:szCs w:val="24"/>
              </w:rPr>
            </w:pPr>
            <w:r>
              <w:rPr>
                <w:rFonts w:hint="eastAsia" w:ascii="宋体" w:hAnsi="宋体" w:eastAsia="宋体" w:cs="Arial"/>
                <w:color w:val="auto"/>
                <w:kern w:val="0"/>
                <w:sz w:val="24"/>
                <w:szCs w:val="24"/>
              </w:rPr>
              <w:t>金额单位：万元</w:t>
            </w:r>
          </w:p>
        </w:tc>
      </w:tr>
      <w:tr>
        <w:trPr>
          <w:trHeight w:val="492" w:hRule="atLeast"/>
        </w:trPr>
        <w:tc>
          <w:tcPr>
            <w:tcW w:w="313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项目</w:t>
            </w:r>
          </w:p>
        </w:tc>
        <w:tc>
          <w:tcPr>
            <w:tcW w:w="992" w:type="dxa"/>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本年收入合计</w:t>
            </w:r>
          </w:p>
        </w:tc>
        <w:tc>
          <w:tcPr>
            <w:tcW w:w="992" w:type="dxa"/>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财政拨款收入</w:t>
            </w:r>
          </w:p>
        </w:tc>
        <w:tc>
          <w:tcPr>
            <w:tcW w:w="709" w:type="dxa"/>
            <w:gridSpan w:val="2"/>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上级补助收入</w:t>
            </w:r>
          </w:p>
        </w:tc>
        <w:tc>
          <w:tcPr>
            <w:tcW w:w="709" w:type="dxa"/>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事业收入</w:t>
            </w:r>
          </w:p>
        </w:tc>
        <w:tc>
          <w:tcPr>
            <w:tcW w:w="709" w:type="dxa"/>
            <w:gridSpan w:val="2"/>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经营收入</w:t>
            </w:r>
          </w:p>
        </w:tc>
        <w:tc>
          <w:tcPr>
            <w:tcW w:w="708" w:type="dxa"/>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附属单位上缴收入</w:t>
            </w:r>
          </w:p>
        </w:tc>
        <w:tc>
          <w:tcPr>
            <w:tcW w:w="851" w:type="dxa"/>
            <w:vMerge w:val="restart"/>
            <w:tcBorders>
              <w:top w:val="single" w:color="000000" w:sz="4" w:space="0"/>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其他收入</w:t>
            </w:r>
          </w:p>
        </w:tc>
      </w:tr>
      <w:tr>
        <w:trPr>
          <w:trHeight w:val="585" w:hRule="atLeast"/>
        </w:trPr>
        <w:tc>
          <w:tcPr>
            <w:tcW w:w="1260" w:type="dxa"/>
            <w:tcBorders>
              <w:top w:val="nil"/>
              <w:left w:val="single" w:color="000000" w:sz="4" w:space="0"/>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支出功能分类科目编码</w:t>
            </w:r>
          </w:p>
        </w:tc>
        <w:tc>
          <w:tcPr>
            <w:tcW w:w="1874" w:type="dxa"/>
            <w:tcBorders>
              <w:top w:val="nil"/>
              <w:left w:val="nil"/>
              <w:bottom w:val="single" w:color="000000" w:sz="4" w:space="0"/>
              <w:right w:val="single" w:color="000000" w:sz="4" w:space="0"/>
            </w:tcBorders>
            <w:vAlign w:val="center"/>
          </w:tcPr>
          <w:p>
            <w:pPr>
              <w:jc w:val="center"/>
              <w:rPr>
                <w:rFonts w:ascii="宋体" w:hAnsi="宋体" w:eastAsia="宋体" w:cs="Arial"/>
                <w:color w:val="auto"/>
                <w:sz w:val="20"/>
                <w:szCs w:val="20"/>
              </w:rPr>
            </w:pPr>
            <w:r>
              <w:rPr>
                <w:rFonts w:hint="eastAsia" w:cs="Arial"/>
                <w:color w:val="auto"/>
                <w:sz w:val="20"/>
                <w:szCs w:val="20"/>
              </w:rPr>
              <w:t>科目名称</w:t>
            </w:r>
          </w:p>
        </w:tc>
        <w:tc>
          <w:tcPr>
            <w:tcW w:w="992" w:type="dxa"/>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992" w:type="dxa"/>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709" w:type="dxa"/>
            <w:gridSpan w:val="2"/>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709" w:type="dxa"/>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709" w:type="dxa"/>
            <w:gridSpan w:val="2"/>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708" w:type="dxa"/>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c>
          <w:tcPr>
            <w:tcW w:w="851" w:type="dxa"/>
            <w:vMerge w:val="continue"/>
            <w:tcBorders>
              <w:top w:val="single" w:color="000000" w:sz="4" w:space="0"/>
              <w:left w:val="nil"/>
              <w:bottom w:val="single" w:color="000000" w:sz="4" w:space="0"/>
              <w:right w:val="single" w:color="000000" w:sz="4" w:space="0"/>
            </w:tcBorders>
            <w:vAlign w:val="center"/>
          </w:tcPr>
          <w:p>
            <w:pPr>
              <w:rPr>
                <w:rFonts w:ascii="宋体" w:hAnsi="宋体" w:eastAsia="宋体" w:cs="Arial"/>
                <w:color w:val="auto"/>
                <w:sz w:val="20"/>
                <w:szCs w:val="20"/>
              </w:rPr>
            </w:pPr>
          </w:p>
        </w:tc>
      </w:tr>
      <w:tr>
        <w:trPr>
          <w:trHeight w:val="308" w:hRule="atLeast"/>
        </w:trPr>
        <w:tc>
          <w:tcPr>
            <w:tcW w:w="1260" w:type="dxa"/>
            <w:tcBorders>
              <w:top w:val="nil"/>
              <w:left w:val="single" w:color="000000" w:sz="4" w:space="0"/>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合计行</w:t>
            </w:r>
          </w:p>
        </w:tc>
        <w:tc>
          <w:tcPr>
            <w:tcW w:w="1874" w:type="dxa"/>
            <w:tcBorders>
              <w:top w:val="nil"/>
              <w:left w:val="nil"/>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0</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1,414.42</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1,211.62</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8"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851"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202.80</w:t>
            </w:r>
          </w:p>
        </w:tc>
      </w:tr>
      <w:tr>
        <w:trPr>
          <w:trHeight w:val="308" w:hRule="atLeast"/>
        </w:trPr>
        <w:tc>
          <w:tcPr>
            <w:tcW w:w="1260" w:type="dxa"/>
            <w:tcBorders>
              <w:top w:val="nil"/>
              <w:left w:val="single" w:color="000000" w:sz="4" w:space="0"/>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2011101</w:t>
            </w:r>
          </w:p>
        </w:tc>
        <w:tc>
          <w:tcPr>
            <w:tcW w:w="1874" w:type="dxa"/>
            <w:tcBorders>
              <w:top w:val="nil"/>
              <w:left w:val="nil"/>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行政运行</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1,347.42</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1,144.62</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8"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851"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202.80</w:t>
            </w:r>
          </w:p>
        </w:tc>
      </w:tr>
      <w:tr>
        <w:trPr>
          <w:trHeight w:val="308" w:hRule="atLeast"/>
        </w:trPr>
        <w:tc>
          <w:tcPr>
            <w:tcW w:w="1260" w:type="dxa"/>
            <w:tcBorders>
              <w:top w:val="nil"/>
              <w:left w:val="single" w:color="000000" w:sz="4" w:space="0"/>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2011102</w:t>
            </w:r>
          </w:p>
        </w:tc>
        <w:tc>
          <w:tcPr>
            <w:tcW w:w="1874" w:type="dxa"/>
            <w:tcBorders>
              <w:top w:val="nil"/>
              <w:left w:val="nil"/>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一般行政管理事务</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63.00</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63.00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8"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851"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r>
      <w:tr>
        <w:trPr>
          <w:trHeight w:val="308" w:hRule="atLeast"/>
        </w:trPr>
        <w:tc>
          <w:tcPr>
            <w:tcW w:w="1260" w:type="dxa"/>
            <w:tcBorders>
              <w:top w:val="nil"/>
              <w:left w:val="single" w:color="000000" w:sz="4" w:space="0"/>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2011199</w:t>
            </w:r>
          </w:p>
        </w:tc>
        <w:tc>
          <w:tcPr>
            <w:tcW w:w="1874" w:type="dxa"/>
            <w:tcBorders>
              <w:top w:val="nil"/>
              <w:left w:val="nil"/>
              <w:bottom w:val="single" w:color="000000" w:sz="4" w:space="0"/>
              <w:right w:val="single" w:color="000000" w:sz="4" w:space="0"/>
            </w:tcBorders>
            <w:vAlign w:val="center"/>
          </w:tcPr>
          <w:p>
            <w:pPr>
              <w:rPr>
                <w:rFonts w:ascii="宋体" w:hAnsi="宋体" w:eastAsia="宋体" w:cs="Arial"/>
                <w:color w:val="auto"/>
                <w:sz w:val="20"/>
                <w:szCs w:val="20"/>
              </w:rPr>
            </w:pPr>
            <w:r>
              <w:rPr>
                <w:rFonts w:hint="eastAsia" w:cs="Arial"/>
                <w:color w:val="auto"/>
                <w:sz w:val="20"/>
                <w:szCs w:val="20"/>
              </w:rPr>
              <w:t>其他纪检监察事务支出</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4.00</w:t>
            </w:r>
          </w:p>
        </w:tc>
        <w:tc>
          <w:tcPr>
            <w:tcW w:w="992"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4.00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9" w:type="dxa"/>
            <w:gridSpan w:val="2"/>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708"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c>
          <w:tcPr>
            <w:tcW w:w="851" w:type="dxa"/>
            <w:tcBorders>
              <w:top w:val="nil"/>
              <w:left w:val="nil"/>
              <w:bottom w:val="single" w:color="000000" w:sz="4" w:space="0"/>
              <w:right w:val="single" w:color="000000" w:sz="4" w:space="0"/>
            </w:tcBorders>
            <w:vAlign w:val="center"/>
          </w:tcPr>
          <w:p>
            <w:pPr>
              <w:jc w:val="right"/>
              <w:rPr>
                <w:rFonts w:ascii="宋体" w:hAnsi="宋体" w:eastAsia="宋体" w:cs="Arial"/>
                <w:color w:val="auto"/>
                <w:sz w:val="20"/>
                <w:szCs w:val="20"/>
              </w:rPr>
            </w:pPr>
            <w:r>
              <w:rPr>
                <w:rFonts w:hint="eastAsia" w:cs="Arial"/>
                <w:color w:val="auto"/>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支出决算表</w:t>
      </w:r>
    </w:p>
    <w:tbl>
      <w:tblPr>
        <w:tblW w:w="90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0"/>
        <w:gridCol w:w="1872"/>
        <w:gridCol w:w="1418"/>
        <w:gridCol w:w="1134"/>
        <w:gridCol w:w="283"/>
        <w:gridCol w:w="567"/>
        <w:gridCol w:w="851"/>
        <w:gridCol w:w="850"/>
        <w:gridCol w:w="851"/>
        <w:gridCol w:w="58"/>
      </w:tblGrid>
      <w:tr>
        <w:trPr>
          <w:trHeight w:val="495" w:hRule="atLeast"/>
        </w:trPr>
        <w:tc>
          <w:tcPr>
            <w:tcW w:w="9004" w:type="dxa"/>
            <w:gridSpan w:val="10"/>
            <w:tcBorders>
              <w:top w:val="nil"/>
              <w:left w:val="nil"/>
              <w:bottom w:val="nil"/>
              <w:right w:val="nil"/>
            </w:tcBorders>
            <w:vAlign w:val="bottom"/>
          </w:tcPr>
          <w:p>
            <w:pPr>
              <w:widowControl/>
              <w:spacing w:line="240" w:lineRule="auto"/>
              <w:jc w:val="center"/>
              <w:rPr>
                <w:rFonts w:ascii="宋体" w:hAnsi="宋体" w:eastAsia="宋体" w:cs="Arial"/>
                <w:color w:val="auto"/>
                <w:kern w:val="0"/>
                <w:sz w:val="44"/>
                <w:szCs w:val="44"/>
              </w:rPr>
            </w:pPr>
            <w:r>
              <w:rPr>
                <w:rFonts w:hint="eastAsia" w:ascii="黑体" w:hAnsi="Arial" w:eastAsia="黑体" w:cs="Arial"/>
                <w:color w:val="auto"/>
                <w:kern w:val="0"/>
                <w:sz w:val="36"/>
                <w:szCs w:val="36"/>
              </w:rPr>
              <w:t>支出决算表</w:t>
            </w:r>
          </w:p>
        </w:tc>
      </w:tr>
      <w:tr>
        <w:trPr>
          <w:trHeight w:val="315" w:hRule="atLeast"/>
        </w:trPr>
        <w:tc>
          <w:tcPr>
            <w:tcW w:w="5827" w:type="dxa"/>
            <w:gridSpan w:val="5"/>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r>
              <w:rPr>
                <w:rFonts w:hint="eastAsia" w:ascii="Arial" w:hAnsi="Arial" w:eastAsia="宋体" w:cs="Arial"/>
                <w:color w:val="auto"/>
                <w:kern w:val="0"/>
                <w:sz w:val="20"/>
                <w:szCs w:val="20"/>
              </w:rPr>
              <w:t xml:space="preserve"> </w:t>
            </w:r>
          </w:p>
        </w:tc>
        <w:tc>
          <w:tcPr>
            <w:tcW w:w="3177" w:type="dxa"/>
            <w:gridSpan w:val="5"/>
            <w:tcBorders>
              <w:top w:val="nil"/>
              <w:left w:val="nil"/>
              <w:bottom w:val="single" w:color="auto" w:sz="4" w:space="0"/>
              <w:right w:val="nil"/>
            </w:tcBorders>
            <w:vAlign w:val="bottom"/>
          </w:tcPr>
          <w:p>
            <w:pPr>
              <w:widowControl/>
              <w:spacing w:line="240" w:lineRule="auto"/>
              <w:jc w:val="right"/>
              <w:rPr>
                <w:rFonts w:ascii="宋体" w:hAnsi="宋体" w:eastAsia="宋体" w:cs="Arial"/>
                <w:color w:val="auto"/>
                <w:kern w:val="0"/>
                <w:sz w:val="24"/>
                <w:szCs w:val="24"/>
              </w:rPr>
            </w:pPr>
            <w:r>
              <w:rPr>
                <w:rFonts w:hint="eastAsia" w:ascii="宋体" w:hAnsi="宋体" w:eastAsia="宋体" w:cs="Arial"/>
                <w:color w:val="auto"/>
                <w:kern w:val="0"/>
                <w:sz w:val="24"/>
                <w:szCs w:val="24"/>
              </w:rPr>
              <w:t>金额单位：万元</w:t>
            </w:r>
          </w:p>
        </w:tc>
      </w:tr>
      <w:tr>
        <w:trPr>
          <w:gridAfter w:val="1"/>
          <w:wAfter w:w="58" w:type="dxa"/>
          <w:trHeight w:val="492" w:hRule="atLeast"/>
        </w:trPr>
        <w:tc>
          <w:tcPr>
            <w:tcW w:w="299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w:t>
            </w:r>
          </w:p>
        </w:tc>
        <w:tc>
          <w:tcPr>
            <w:tcW w:w="1418"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本年支出合计</w:t>
            </w:r>
          </w:p>
        </w:tc>
        <w:tc>
          <w:tcPr>
            <w:tcW w:w="1134"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基本支出</w:t>
            </w:r>
          </w:p>
        </w:tc>
        <w:tc>
          <w:tcPr>
            <w:tcW w:w="850" w:type="dxa"/>
            <w:gridSpan w:val="2"/>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项目支出</w:t>
            </w:r>
          </w:p>
        </w:tc>
        <w:tc>
          <w:tcPr>
            <w:tcW w:w="851"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上缴上级支出</w:t>
            </w:r>
          </w:p>
        </w:tc>
        <w:tc>
          <w:tcPr>
            <w:tcW w:w="850"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经营支出</w:t>
            </w:r>
          </w:p>
        </w:tc>
        <w:tc>
          <w:tcPr>
            <w:tcW w:w="851"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对附属单位补助支出</w:t>
            </w:r>
          </w:p>
        </w:tc>
      </w:tr>
      <w:tr>
        <w:trPr>
          <w:gridAfter w:val="1"/>
          <w:wAfter w:w="58" w:type="dxa"/>
          <w:trHeight w:val="537" w:hRule="atLeast"/>
        </w:trPr>
        <w:tc>
          <w:tcPr>
            <w:tcW w:w="1120"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支出功能分类科目编码</w:t>
            </w:r>
          </w:p>
        </w:tc>
        <w:tc>
          <w:tcPr>
            <w:tcW w:w="1872"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科目名称</w:t>
            </w:r>
          </w:p>
        </w:tc>
        <w:tc>
          <w:tcPr>
            <w:tcW w:w="1418"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1134"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850" w:type="dxa"/>
            <w:gridSpan w:val="2"/>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851"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850"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851"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r>
      <w:tr>
        <w:trPr>
          <w:gridAfter w:val="1"/>
          <w:wAfter w:w="58" w:type="dxa"/>
          <w:trHeight w:val="308" w:hRule="atLeast"/>
        </w:trPr>
        <w:tc>
          <w:tcPr>
            <w:tcW w:w="1120"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合计行</w:t>
            </w:r>
          </w:p>
        </w:tc>
        <w:tc>
          <w:tcPr>
            <w:tcW w:w="187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0</w:t>
            </w:r>
          </w:p>
        </w:tc>
        <w:tc>
          <w:tcPr>
            <w:tcW w:w="141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1,340.83</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1,277.83</w:t>
            </w:r>
          </w:p>
        </w:tc>
        <w:tc>
          <w:tcPr>
            <w:tcW w:w="850"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58" w:type="dxa"/>
          <w:trHeight w:val="308" w:hRule="atLeast"/>
        </w:trPr>
        <w:tc>
          <w:tcPr>
            <w:tcW w:w="1120"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2011101</w:t>
            </w:r>
          </w:p>
        </w:tc>
        <w:tc>
          <w:tcPr>
            <w:tcW w:w="187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行政运行</w:t>
            </w:r>
          </w:p>
        </w:tc>
        <w:tc>
          <w:tcPr>
            <w:tcW w:w="141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1,273.83</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1,273.83</w:t>
            </w:r>
          </w:p>
        </w:tc>
        <w:tc>
          <w:tcPr>
            <w:tcW w:w="850"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58" w:type="dxa"/>
          <w:trHeight w:val="308" w:hRule="atLeast"/>
        </w:trPr>
        <w:tc>
          <w:tcPr>
            <w:tcW w:w="1120"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2011102</w:t>
            </w:r>
          </w:p>
        </w:tc>
        <w:tc>
          <w:tcPr>
            <w:tcW w:w="187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一般行政管理事务</w:t>
            </w:r>
          </w:p>
        </w:tc>
        <w:tc>
          <w:tcPr>
            <w:tcW w:w="141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0"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58" w:type="dxa"/>
          <w:trHeight w:val="308" w:hRule="atLeast"/>
        </w:trPr>
        <w:tc>
          <w:tcPr>
            <w:tcW w:w="1120"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2011199</w:t>
            </w:r>
          </w:p>
        </w:tc>
        <w:tc>
          <w:tcPr>
            <w:tcW w:w="187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其他纪检监察事务支出</w:t>
            </w:r>
          </w:p>
        </w:tc>
        <w:tc>
          <w:tcPr>
            <w:tcW w:w="141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4.00</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4.00</w:t>
            </w:r>
          </w:p>
        </w:tc>
        <w:tc>
          <w:tcPr>
            <w:tcW w:w="850"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85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财政拨款收入支出决算总表</w:t>
      </w:r>
    </w:p>
    <w:tbl>
      <w:tblPr>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95"/>
        <w:gridCol w:w="1148"/>
        <w:gridCol w:w="1842"/>
        <w:gridCol w:w="1134"/>
        <w:gridCol w:w="15"/>
        <w:gridCol w:w="514"/>
        <w:gridCol w:w="605"/>
        <w:gridCol w:w="993"/>
        <w:gridCol w:w="283"/>
      </w:tblGrid>
      <w:tr>
        <w:trPr>
          <w:trHeight w:val="540" w:hRule="atLeast"/>
        </w:trPr>
        <w:tc>
          <w:tcPr>
            <w:tcW w:w="9229" w:type="dxa"/>
            <w:gridSpan w:val="9"/>
            <w:tcBorders>
              <w:top w:val="nil"/>
              <w:left w:val="nil"/>
              <w:bottom w:val="nil"/>
              <w:right w:val="nil"/>
            </w:tcBorders>
            <w:vAlign w:val="bottom"/>
          </w:tcPr>
          <w:p>
            <w:pPr>
              <w:widowControl/>
              <w:spacing w:line="240" w:lineRule="auto"/>
              <w:jc w:val="center"/>
              <w:rPr>
                <w:rFonts w:ascii="宋体" w:hAnsi="宋体" w:eastAsia="宋体" w:cs="Arial"/>
                <w:color w:val="auto"/>
                <w:kern w:val="0"/>
                <w:sz w:val="44"/>
                <w:szCs w:val="44"/>
              </w:rPr>
            </w:pPr>
            <w:r>
              <w:rPr>
                <w:rFonts w:hint="eastAsia" w:ascii="黑体" w:hAnsi="Arial" w:eastAsia="黑体" w:cs="Arial"/>
                <w:color w:val="auto"/>
                <w:kern w:val="0"/>
                <w:sz w:val="36"/>
                <w:szCs w:val="36"/>
              </w:rPr>
              <w:t>财政拨款收入支出决算总表</w:t>
            </w:r>
          </w:p>
        </w:tc>
      </w:tr>
      <w:tr>
        <w:trPr>
          <w:trHeight w:val="315" w:hRule="atLeast"/>
        </w:trPr>
        <w:tc>
          <w:tcPr>
            <w:tcW w:w="6834" w:type="dxa"/>
            <w:gridSpan w:val="5"/>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p>
        </w:tc>
        <w:tc>
          <w:tcPr>
            <w:tcW w:w="514" w:type="dxa"/>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p>
        </w:tc>
        <w:tc>
          <w:tcPr>
            <w:tcW w:w="1881" w:type="dxa"/>
            <w:gridSpan w:val="3"/>
            <w:tcBorders>
              <w:top w:val="nil"/>
              <w:left w:val="nil"/>
              <w:bottom w:val="nil"/>
              <w:right w:val="nil"/>
            </w:tcBorders>
            <w:vAlign w:val="bottom"/>
          </w:tcPr>
          <w:p>
            <w:pPr>
              <w:widowControl/>
              <w:spacing w:line="240" w:lineRule="auto"/>
              <w:jc w:val="right"/>
              <w:rPr>
                <w:rFonts w:ascii="宋体" w:hAnsi="宋体" w:eastAsia="宋体" w:cs="Arial"/>
                <w:color w:val="auto"/>
                <w:kern w:val="0"/>
                <w:sz w:val="24"/>
                <w:szCs w:val="24"/>
              </w:rPr>
            </w:pPr>
            <w:r>
              <w:rPr>
                <w:rFonts w:hint="eastAsia" w:ascii="宋体" w:hAnsi="宋体" w:eastAsia="宋体" w:cs="Arial"/>
                <w:color w:val="auto"/>
                <w:kern w:val="0"/>
                <w:sz w:val="24"/>
                <w:szCs w:val="24"/>
              </w:rPr>
              <w:t>金额单位：万元</w:t>
            </w:r>
          </w:p>
        </w:tc>
      </w:tr>
      <w:tr>
        <w:trPr>
          <w:gridAfter w:val="1"/>
          <w:wAfter w:w="283" w:type="dxa"/>
          <w:trHeight w:val="308" w:hRule="atLeast"/>
        </w:trPr>
        <w:tc>
          <w:tcPr>
            <w:tcW w:w="3843" w:type="dxa"/>
            <w:gridSpan w:val="2"/>
            <w:tcBorders>
              <w:top w:val="single" w:color="auto" w:sz="4" w:space="0"/>
              <w:left w:val="single" w:color="auto"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收     入</w:t>
            </w:r>
          </w:p>
        </w:tc>
        <w:tc>
          <w:tcPr>
            <w:tcW w:w="5103" w:type="dxa"/>
            <w:gridSpan w:val="6"/>
            <w:tcBorders>
              <w:top w:val="single" w:color="auto" w:sz="4" w:space="0"/>
              <w:left w:val="nil"/>
              <w:bottom w:val="single" w:color="000000" w:sz="4" w:space="0"/>
              <w:right w:val="single" w:color="auto"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支     出</w:t>
            </w:r>
          </w:p>
        </w:tc>
      </w:tr>
      <w:tr>
        <w:trPr>
          <w:gridAfter w:val="1"/>
          <w:wAfter w:w="283" w:type="dxa"/>
          <w:trHeight w:val="312" w:hRule="atLeast"/>
        </w:trPr>
        <w:tc>
          <w:tcPr>
            <w:tcW w:w="2695" w:type="dxa"/>
            <w:vMerge w:val="restart"/>
            <w:tcBorders>
              <w:top w:val="nil"/>
              <w:left w:val="single" w:color="auto" w:sz="4" w:space="0"/>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项    目</w:t>
            </w:r>
          </w:p>
        </w:tc>
        <w:tc>
          <w:tcPr>
            <w:tcW w:w="1148" w:type="dxa"/>
            <w:vMerge w:val="restart"/>
            <w:tcBorders>
              <w:top w:val="nil"/>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金额</w:t>
            </w:r>
          </w:p>
        </w:tc>
        <w:tc>
          <w:tcPr>
            <w:tcW w:w="1842" w:type="dxa"/>
            <w:vMerge w:val="restart"/>
            <w:tcBorders>
              <w:top w:val="nil"/>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项目（按功能分类）</w:t>
            </w:r>
          </w:p>
        </w:tc>
        <w:tc>
          <w:tcPr>
            <w:tcW w:w="1134" w:type="dxa"/>
            <w:vMerge w:val="restart"/>
            <w:tcBorders>
              <w:top w:val="nil"/>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合计</w:t>
            </w:r>
          </w:p>
        </w:tc>
        <w:tc>
          <w:tcPr>
            <w:tcW w:w="1134" w:type="dxa"/>
            <w:gridSpan w:val="3"/>
            <w:vMerge w:val="restart"/>
            <w:tcBorders>
              <w:top w:val="nil"/>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一般公共预算财政拨款</w:t>
            </w:r>
          </w:p>
        </w:tc>
        <w:tc>
          <w:tcPr>
            <w:tcW w:w="993" w:type="dxa"/>
            <w:vMerge w:val="restart"/>
            <w:tcBorders>
              <w:top w:val="nil"/>
              <w:left w:val="nil"/>
              <w:bottom w:val="single" w:color="auto" w:sz="4" w:space="0"/>
              <w:right w:val="single" w:color="auto" w:sz="4" w:space="0"/>
            </w:tcBorders>
            <w:vAlign w:val="center"/>
          </w:tcPr>
          <w:p>
            <w:pPr>
              <w:widowControl/>
              <w:spacing w:line="240" w:lineRule="auto"/>
              <w:jc w:val="center"/>
              <w:rPr>
                <w:rFonts w:ascii="宋体" w:hAnsi="宋体" w:eastAsia="宋体" w:cs="Arial"/>
                <w:color w:val="auto"/>
                <w:kern w:val="0"/>
                <w:sz w:val="22"/>
              </w:rPr>
            </w:pPr>
            <w:r>
              <w:rPr>
                <w:rFonts w:hint="eastAsia" w:ascii="宋体" w:hAnsi="宋体" w:eastAsia="宋体" w:cs="Arial"/>
                <w:color w:val="auto"/>
                <w:kern w:val="0"/>
                <w:sz w:val="22"/>
              </w:rPr>
              <w:t>政府性基金预算财政拨款</w:t>
            </w:r>
          </w:p>
        </w:tc>
      </w:tr>
      <w:tr>
        <w:trPr>
          <w:gridAfter w:val="1"/>
          <w:wAfter w:w="283" w:type="dxa"/>
          <w:trHeight w:val="600" w:hRule="atLeast"/>
        </w:trPr>
        <w:tc>
          <w:tcPr>
            <w:tcW w:w="2695" w:type="dxa"/>
            <w:vMerge w:val="continue"/>
            <w:tcBorders>
              <w:top w:val="single" w:color="auto" w:sz="4" w:space="0"/>
              <w:left w:val="single" w:color="auto" w:sz="4" w:space="0"/>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2"/>
              </w:rPr>
            </w:pPr>
          </w:p>
        </w:tc>
        <w:tc>
          <w:tcPr>
            <w:tcW w:w="1148" w:type="dxa"/>
            <w:vMerge w:val="continue"/>
            <w:tcBorders>
              <w:top w:val="single" w:color="auto" w:sz="4"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2"/>
              </w:rPr>
            </w:pPr>
          </w:p>
        </w:tc>
        <w:tc>
          <w:tcPr>
            <w:tcW w:w="1842" w:type="dxa"/>
            <w:vMerge w:val="continue"/>
            <w:tcBorders>
              <w:top w:val="single" w:color="auto" w:sz="4"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2"/>
              </w:rPr>
            </w:pPr>
          </w:p>
        </w:tc>
        <w:tc>
          <w:tcPr>
            <w:tcW w:w="1134" w:type="dxa"/>
            <w:vMerge w:val="continue"/>
            <w:tcBorders>
              <w:top w:val="single" w:color="auto" w:sz="4"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2"/>
              </w:rPr>
            </w:pPr>
          </w:p>
        </w:tc>
        <w:tc>
          <w:tcPr>
            <w:tcW w:w="1134" w:type="dxa"/>
            <w:gridSpan w:val="3"/>
            <w:vMerge w:val="continue"/>
            <w:tcBorders>
              <w:top w:val="single" w:color="auto" w:sz="4" w:space="0"/>
              <w:left w:val="nil"/>
              <w:bottom w:val="single" w:color="auto" w:sz="4" w:space="0"/>
              <w:right w:val="single" w:color="000000" w:sz="4" w:space="0"/>
            </w:tcBorders>
            <w:vAlign w:val="center"/>
          </w:tcPr>
          <w:p>
            <w:pPr>
              <w:widowControl/>
              <w:spacing w:line="240" w:lineRule="auto"/>
              <w:jc w:val="left"/>
              <w:rPr>
                <w:rFonts w:ascii="宋体" w:hAnsi="宋体" w:eastAsia="宋体" w:cs="Arial"/>
                <w:color w:val="auto"/>
                <w:kern w:val="0"/>
                <w:sz w:val="22"/>
              </w:rPr>
            </w:pPr>
          </w:p>
        </w:tc>
        <w:tc>
          <w:tcPr>
            <w:tcW w:w="993" w:type="dxa"/>
            <w:vMerge w:val="continue"/>
            <w:tcBorders>
              <w:top w:val="single" w:color="auto" w:sz="4" w:space="0"/>
              <w:left w:val="nil"/>
              <w:bottom w:val="single" w:color="auto" w:sz="4" w:space="0"/>
              <w:right w:val="single" w:color="auto" w:sz="4" w:space="0"/>
            </w:tcBorders>
            <w:vAlign w:val="center"/>
          </w:tcPr>
          <w:p>
            <w:pPr>
              <w:widowControl/>
              <w:spacing w:line="240" w:lineRule="auto"/>
              <w:jc w:val="left"/>
              <w:rPr>
                <w:rFonts w:ascii="宋体" w:hAnsi="宋体" w:eastAsia="宋体" w:cs="Arial"/>
                <w:color w:val="auto"/>
                <w:kern w:val="0"/>
                <w:sz w:val="22"/>
              </w:rPr>
            </w:pPr>
          </w:p>
        </w:tc>
      </w:tr>
      <w:tr>
        <w:trPr>
          <w:gridAfter w:val="1"/>
          <w:wAfter w:w="283" w:type="dxa"/>
          <w:trHeight w:val="308" w:hRule="atLeast"/>
        </w:trPr>
        <w:tc>
          <w:tcPr>
            <w:tcW w:w="2695" w:type="dxa"/>
            <w:tcBorders>
              <w:top w:val="single" w:color="auto" w:sz="4"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一、一般公共预算财政拨款</w:t>
            </w:r>
          </w:p>
        </w:tc>
        <w:tc>
          <w:tcPr>
            <w:tcW w:w="1148"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1,211.62</w:t>
            </w:r>
          </w:p>
        </w:tc>
        <w:tc>
          <w:tcPr>
            <w:tcW w:w="1842" w:type="dxa"/>
            <w:tcBorders>
              <w:top w:val="single" w:color="auto"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一、一般公共服务支出</w:t>
            </w:r>
          </w:p>
        </w:tc>
        <w:tc>
          <w:tcPr>
            <w:tcW w:w="1134"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1,138.02</w:t>
            </w:r>
          </w:p>
        </w:tc>
        <w:tc>
          <w:tcPr>
            <w:tcW w:w="1134" w:type="dxa"/>
            <w:gridSpan w:val="3"/>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1,138.02</w:t>
            </w:r>
          </w:p>
        </w:tc>
        <w:tc>
          <w:tcPr>
            <w:tcW w:w="993" w:type="dxa"/>
            <w:tcBorders>
              <w:top w:val="single" w:color="auto" w:sz="4" w:space="0"/>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二、政府性基金预算财政拨款</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二、外交支出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三、国防支出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四、公共安全支出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五、教育支出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六、科学技术支出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七、文化旅游体育与传媒支出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八、社会保障和就业支出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九、卫生健康支出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十、节能环保支出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十一、城乡社区支出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十二、农林水支出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十三、交通运输支出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十四、资源勘探信息等支出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十五、商业服务业等支出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十六、金融支出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十七、援助其他地区支出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十八、自然资源海洋气象等支出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十九、住房保障支出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二十、粮油物资储备支出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二十一、灾害防治及应急管理支出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二十一、其他支出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二十二、债务还本支出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二十三、债务付息支出</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b/>
                <w:bCs/>
                <w:color w:val="auto"/>
                <w:kern w:val="0"/>
                <w:sz w:val="22"/>
              </w:rPr>
            </w:pPr>
            <w:r>
              <w:rPr>
                <w:rFonts w:hint="eastAsia" w:ascii="宋体" w:hAnsi="宋体" w:eastAsia="宋体" w:cs="Arial"/>
                <w:b/>
                <w:bCs/>
                <w:color w:val="auto"/>
                <w:kern w:val="0"/>
                <w:sz w:val="22"/>
              </w:rPr>
              <w:t>本年收入合计</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1,211.62</w:t>
            </w:r>
          </w:p>
        </w:tc>
        <w:tc>
          <w:tcPr>
            <w:tcW w:w="1842"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本年支出合计</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1,138.02</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1,138.02</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99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年初财政拨款结转和结余</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年末财政拨款结转和结余</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73.59</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73.59</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一、一般公共预算财政拨款</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99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二、政府性基金预算财政拨款</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99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2"/>
              </w:rPr>
            </w:pPr>
            <w:r>
              <w:rPr>
                <w:rFonts w:hint="eastAsia" w:ascii="宋体" w:hAnsi="宋体" w:eastAsia="宋体" w:cs="Arial"/>
                <w:color w:val="auto"/>
                <w:kern w:val="0"/>
                <w:sz w:val="22"/>
              </w:rPr>
              <w:t>　</w:t>
            </w:r>
          </w:p>
        </w:tc>
        <w:tc>
          <w:tcPr>
            <w:tcW w:w="1148"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842"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993"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283" w:type="dxa"/>
          <w:trHeight w:val="308" w:hRule="atLeast"/>
        </w:trPr>
        <w:tc>
          <w:tcPr>
            <w:tcW w:w="2695"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b/>
                <w:bCs/>
                <w:color w:val="auto"/>
                <w:kern w:val="0"/>
                <w:sz w:val="22"/>
              </w:rPr>
            </w:pPr>
            <w:r>
              <w:rPr>
                <w:rFonts w:hint="eastAsia" w:ascii="宋体" w:hAnsi="宋体" w:eastAsia="宋体" w:cs="Arial"/>
                <w:b/>
                <w:bCs/>
                <w:color w:val="auto"/>
                <w:kern w:val="0"/>
                <w:sz w:val="22"/>
              </w:rPr>
              <w:t>总计</w:t>
            </w:r>
          </w:p>
        </w:tc>
        <w:tc>
          <w:tcPr>
            <w:tcW w:w="1148"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1,211.62</w:t>
            </w:r>
          </w:p>
        </w:tc>
        <w:tc>
          <w:tcPr>
            <w:tcW w:w="1842"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总计</w:t>
            </w:r>
          </w:p>
        </w:tc>
        <w:tc>
          <w:tcPr>
            <w:tcW w:w="1134"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1,211.62</w:t>
            </w:r>
          </w:p>
        </w:tc>
        <w:tc>
          <w:tcPr>
            <w:tcW w:w="1134"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1,211.62</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b/>
                <w:bCs/>
                <w:color w:val="auto"/>
                <w:kern w:val="0"/>
                <w:sz w:val="20"/>
                <w:szCs w:val="20"/>
              </w:rPr>
            </w:pPr>
            <w:r>
              <w:rPr>
                <w:rFonts w:hint="eastAsia" w:ascii="宋体" w:hAnsi="宋体" w:eastAsia="宋体" w:cs="Arial"/>
                <w:b/>
                <w:bCs/>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一般公共预算财政拨款支出决算表</w:t>
      </w:r>
    </w:p>
    <w:tbl>
      <w:tblPr>
        <w:tblW w:w="8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3"/>
        <w:gridCol w:w="2410"/>
        <w:gridCol w:w="1417"/>
        <w:gridCol w:w="300"/>
        <w:gridCol w:w="976"/>
        <w:gridCol w:w="1641"/>
        <w:gridCol w:w="39"/>
        <w:gridCol w:w="21"/>
      </w:tblGrid>
      <w:tr>
        <w:trPr>
          <w:gridAfter w:val="2"/>
          <w:wAfter w:w="60" w:type="dxa"/>
          <w:trHeight w:val="540" w:hRule="atLeast"/>
        </w:trPr>
        <w:tc>
          <w:tcPr>
            <w:tcW w:w="8177" w:type="dxa"/>
            <w:gridSpan w:val="6"/>
            <w:tcBorders>
              <w:top w:val="nil"/>
              <w:left w:val="nil"/>
              <w:bottom w:val="nil"/>
              <w:right w:val="nil"/>
            </w:tcBorders>
            <w:vAlign w:val="bottom"/>
          </w:tcPr>
          <w:p>
            <w:pPr>
              <w:widowControl/>
              <w:spacing w:line="240" w:lineRule="auto"/>
              <w:jc w:val="center"/>
              <w:rPr>
                <w:rFonts w:ascii="黑体" w:hAnsi="Arial" w:eastAsia="黑体" w:cs="Arial"/>
                <w:color w:val="auto"/>
                <w:kern w:val="0"/>
                <w:sz w:val="44"/>
                <w:szCs w:val="44"/>
              </w:rPr>
            </w:pPr>
            <w:r>
              <w:rPr>
                <w:rFonts w:hint="eastAsia" w:ascii="黑体" w:hAnsi="Arial" w:eastAsia="黑体" w:cs="Arial"/>
                <w:color w:val="auto"/>
                <w:kern w:val="0"/>
                <w:sz w:val="36"/>
                <w:szCs w:val="36"/>
              </w:rPr>
              <w:t>一般公共预算财政拨款支出决算表</w:t>
            </w:r>
          </w:p>
        </w:tc>
      </w:tr>
      <w:tr>
        <w:trPr>
          <w:gridAfter w:val="1"/>
          <w:wAfter w:w="21" w:type="dxa"/>
          <w:trHeight w:val="510" w:hRule="atLeast"/>
        </w:trPr>
        <w:tc>
          <w:tcPr>
            <w:tcW w:w="5560" w:type="dxa"/>
            <w:gridSpan w:val="4"/>
            <w:tcBorders>
              <w:top w:val="nil"/>
              <w:left w:val="nil"/>
              <w:bottom w:val="nil"/>
              <w:right w:val="nil"/>
            </w:tcBorders>
            <w:vAlign w:val="center"/>
          </w:tcPr>
          <w:p>
            <w:pPr>
              <w:widowControl/>
              <w:spacing w:line="240" w:lineRule="auto"/>
              <w:jc w:val="left"/>
              <w:rPr>
                <w:rFonts w:ascii="宋体" w:hAnsi="宋体" w:eastAsia="宋体" w:cs="Arial"/>
                <w:color w:val="auto"/>
                <w:kern w:val="0"/>
                <w:sz w:val="24"/>
                <w:szCs w:val="24"/>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p>
        </w:tc>
        <w:tc>
          <w:tcPr>
            <w:tcW w:w="2656" w:type="dxa"/>
            <w:gridSpan w:val="3"/>
            <w:tcBorders>
              <w:top w:val="nil"/>
              <w:left w:val="nil"/>
              <w:bottom w:val="nil"/>
              <w:right w:val="nil"/>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单位：万元</w:t>
            </w:r>
          </w:p>
        </w:tc>
      </w:tr>
      <w:tr>
        <w:trPr>
          <w:trHeight w:val="387" w:hRule="atLeast"/>
        </w:trPr>
        <w:tc>
          <w:tcPr>
            <w:tcW w:w="143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科目编码</w:t>
            </w:r>
          </w:p>
        </w:tc>
        <w:tc>
          <w:tcPr>
            <w:tcW w:w="2410"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科目名称</w:t>
            </w:r>
          </w:p>
        </w:tc>
        <w:tc>
          <w:tcPr>
            <w:tcW w:w="1417" w:type="dxa"/>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本年支出合计</w:t>
            </w:r>
          </w:p>
        </w:tc>
        <w:tc>
          <w:tcPr>
            <w:tcW w:w="1276" w:type="dxa"/>
            <w:gridSpan w:val="2"/>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基本支出</w:t>
            </w:r>
          </w:p>
        </w:tc>
        <w:tc>
          <w:tcPr>
            <w:tcW w:w="1701" w:type="dxa"/>
            <w:gridSpan w:val="3"/>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项目支出</w:t>
            </w:r>
          </w:p>
        </w:tc>
      </w:tr>
      <w:tr>
        <w:trPr>
          <w:trHeight w:val="308" w:hRule="atLeast"/>
        </w:trPr>
        <w:tc>
          <w:tcPr>
            <w:tcW w:w="143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合计行</w:t>
            </w:r>
          </w:p>
        </w:tc>
        <w:tc>
          <w:tcPr>
            <w:tcW w:w="241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0</w:t>
            </w:r>
          </w:p>
        </w:tc>
        <w:tc>
          <w:tcPr>
            <w:tcW w:w="1417"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1,138.02</w:t>
            </w:r>
          </w:p>
        </w:tc>
        <w:tc>
          <w:tcPr>
            <w:tcW w:w="1276"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1,075.02</w:t>
            </w:r>
          </w:p>
        </w:tc>
        <w:tc>
          <w:tcPr>
            <w:tcW w:w="1701"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r>
      <w:tr>
        <w:trPr>
          <w:trHeight w:val="308" w:hRule="atLeast"/>
        </w:trPr>
        <w:tc>
          <w:tcPr>
            <w:tcW w:w="143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2011101</w:t>
            </w:r>
          </w:p>
        </w:tc>
        <w:tc>
          <w:tcPr>
            <w:tcW w:w="241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行政运行</w:t>
            </w:r>
          </w:p>
        </w:tc>
        <w:tc>
          <w:tcPr>
            <w:tcW w:w="1417"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1,071.02</w:t>
            </w:r>
          </w:p>
        </w:tc>
        <w:tc>
          <w:tcPr>
            <w:tcW w:w="1276"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1,071.02</w:t>
            </w:r>
          </w:p>
        </w:tc>
        <w:tc>
          <w:tcPr>
            <w:tcW w:w="1701"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143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2011102</w:t>
            </w:r>
          </w:p>
        </w:tc>
        <w:tc>
          <w:tcPr>
            <w:tcW w:w="241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一般行政管理事务</w:t>
            </w:r>
          </w:p>
        </w:tc>
        <w:tc>
          <w:tcPr>
            <w:tcW w:w="1417"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c>
          <w:tcPr>
            <w:tcW w:w="1276"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701"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63.00</w:t>
            </w:r>
          </w:p>
        </w:tc>
      </w:tr>
      <w:tr>
        <w:trPr>
          <w:trHeight w:val="308" w:hRule="atLeast"/>
        </w:trPr>
        <w:tc>
          <w:tcPr>
            <w:tcW w:w="143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2011199</w:t>
            </w:r>
          </w:p>
        </w:tc>
        <w:tc>
          <w:tcPr>
            <w:tcW w:w="241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其他纪检监察事务支出</w:t>
            </w:r>
          </w:p>
        </w:tc>
        <w:tc>
          <w:tcPr>
            <w:tcW w:w="1417"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4.00</w:t>
            </w:r>
          </w:p>
        </w:tc>
        <w:tc>
          <w:tcPr>
            <w:tcW w:w="1276"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4.00</w:t>
            </w:r>
          </w:p>
        </w:tc>
        <w:tc>
          <w:tcPr>
            <w:tcW w:w="1701"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一般公共预算财政拨款支出决算明细表</w:t>
      </w:r>
    </w:p>
    <w:tbl>
      <w:tblPr>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3"/>
        <w:gridCol w:w="2305"/>
        <w:gridCol w:w="117"/>
        <w:gridCol w:w="3794"/>
      </w:tblGrid>
      <w:tr>
        <w:trPr>
          <w:trHeight w:val="23" w:hRule="atLeast"/>
        </w:trPr>
        <w:tc>
          <w:tcPr>
            <w:tcW w:w="8429" w:type="dxa"/>
            <w:gridSpan w:val="4"/>
            <w:tcBorders>
              <w:top w:val="nil"/>
              <w:left w:val="nil"/>
              <w:bottom w:val="nil"/>
              <w:right w:val="nil"/>
            </w:tcBorders>
            <w:vAlign w:val="center"/>
          </w:tcPr>
          <w:p>
            <w:pPr>
              <w:widowControl/>
              <w:spacing w:line="240" w:lineRule="auto"/>
              <w:jc w:val="center"/>
              <w:rPr>
                <w:rFonts w:ascii="黑体" w:hAnsi="Arial" w:eastAsia="黑体" w:cs="Arial"/>
                <w:color w:val="auto"/>
                <w:kern w:val="0"/>
                <w:sz w:val="36"/>
                <w:szCs w:val="36"/>
              </w:rPr>
            </w:pPr>
            <w:r>
              <w:rPr>
                <w:rFonts w:hint="eastAsia" w:ascii="黑体" w:hAnsi="Arial" w:eastAsia="黑体" w:cs="Arial"/>
                <w:color w:val="auto"/>
                <w:kern w:val="0"/>
                <w:sz w:val="36"/>
                <w:szCs w:val="36"/>
              </w:rPr>
              <w:t>一般公共预算财政拨款支出决算明细表</w:t>
            </w:r>
          </w:p>
        </w:tc>
      </w:tr>
      <w:tr>
        <w:trPr>
          <w:trHeight w:val="23" w:hRule="atLeast"/>
        </w:trPr>
        <w:tc>
          <w:tcPr>
            <w:tcW w:w="4635" w:type="dxa"/>
            <w:gridSpan w:val="3"/>
            <w:tcBorders>
              <w:top w:val="nil"/>
              <w:left w:val="nil"/>
              <w:bottom w:val="single" w:color="000000" w:sz="4" w:space="0"/>
              <w:right w:val="nil"/>
            </w:tcBorders>
            <w:vAlign w:val="center"/>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2"/>
              </w:rPr>
              <w:t>编制单位：</w:t>
            </w:r>
            <w:r>
              <w:rPr>
                <w:rFonts w:hint="eastAsia" w:ascii="宋体" w:hAnsi="宋体" w:eastAsia="宋体" w:cs="Arial"/>
                <w:color w:val="auto"/>
                <w:kern w:val="0"/>
                <w:sz w:val="20"/>
                <w:szCs w:val="20"/>
              </w:rPr>
              <w:t>中国共产党连城县纪律检查委员会</w:t>
            </w:r>
          </w:p>
        </w:tc>
        <w:tc>
          <w:tcPr>
            <w:tcW w:w="3794" w:type="dxa"/>
            <w:tcBorders>
              <w:top w:val="nil"/>
              <w:left w:val="nil"/>
              <w:bottom w:val="single" w:color="000000" w:sz="4" w:space="0"/>
              <w:right w:val="nil"/>
            </w:tcBorders>
            <w:vAlign w:val="center"/>
          </w:tcPr>
          <w:p>
            <w:pPr>
              <w:widowControl/>
              <w:spacing w:line="240" w:lineRule="auto"/>
              <w:jc w:val="right"/>
              <w:rPr>
                <w:rFonts w:ascii="宋体" w:hAnsi="宋体" w:eastAsia="宋体" w:cs="Arial"/>
                <w:color w:val="auto"/>
                <w:kern w:val="0"/>
                <w:sz w:val="22"/>
              </w:rPr>
            </w:pPr>
            <w:r>
              <w:rPr>
                <w:rFonts w:hint="eastAsia" w:ascii="宋体" w:hAnsi="宋体" w:eastAsia="宋体" w:cs="Arial"/>
                <w:color w:val="auto"/>
                <w:kern w:val="0"/>
                <w:sz w:val="22"/>
              </w:rPr>
              <w:t>单位：万元</w:t>
            </w:r>
          </w:p>
        </w:tc>
      </w:tr>
      <w:tr>
        <w:trPr>
          <w:trHeight w:val="23" w:hRule="atLeast"/>
        </w:trPr>
        <w:tc>
          <w:tcPr>
            <w:tcW w:w="4518" w:type="dxa"/>
            <w:gridSpan w:val="2"/>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    目</w:t>
            </w:r>
          </w:p>
        </w:tc>
        <w:tc>
          <w:tcPr>
            <w:tcW w:w="3911" w:type="dxa"/>
            <w:gridSpan w:val="2"/>
            <w:vMerge w:val="restart"/>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合     计 </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经济分类</w:t>
            </w:r>
            <w:r>
              <w:rPr>
                <w:rFonts w:hint="eastAsia" w:ascii="宋体" w:hAnsi="宋体" w:eastAsia="宋体" w:cs="Arial"/>
                <w:color w:val="auto"/>
                <w:kern w:val="0"/>
                <w:sz w:val="20"/>
                <w:szCs w:val="20"/>
              </w:rPr>
              <w:br/>
            </w:r>
            <w:r>
              <w:rPr>
                <w:rFonts w:hint="eastAsia" w:ascii="宋体" w:hAnsi="宋体" w:eastAsia="宋体" w:cs="Arial"/>
                <w:color w:val="auto"/>
                <w:kern w:val="0"/>
                <w:sz w:val="20"/>
                <w:szCs w:val="20"/>
              </w:rPr>
              <w:t>科目编码</w:t>
            </w:r>
          </w:p>
        </w:tc>
        <w:tc>
          <w:tcPr>
            <w:tcW w:w="2305"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科目名称</w:t>
            </w:r>
          </w:p>
        </w:tc>
        <w:tc>
          <w:tcPr>
            <w:tcW w:w="3911" w:type="dxa"/>
            <w:gridSpan w:val="2"/>
            <w:vMerge w:val="continue"/>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r>
      <w:tr>
        <w:trPr>
          <w:trHeight w:val="23" w:hRule="atLeast"/>
        </w:trPr>
        <w:tc>
          <w:tcPr>
            <w:tcW w:w="4518" w:type="dxa"/>
            <w:gridSpan w:val="2"/>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合         计</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1,138.02</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工资福利支出</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908.81</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商品和服务支出</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199.74</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对个人和家庭的补助</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311</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资本性支出（基本建设）</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资本性支出</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29.48</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311</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对企业补助（基本建设）</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对企业补助</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债务利息及费用支出</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23" w:hRule="atLeast"/>
        </w:trPr>
        <w:tc>
          <w:tcPr>
            <w:tcW w:w="2213"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w:t>
            </w:r>
          </w:p>
        </w:tc>
        <w:tc>
          <w:tcPr>
            <w:tcW w:w="2305"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其他支出</w:t>
            </w:r>
          </w:p>
        </w:tc>
        <w:tc>
          <w:tcPr>
            <w:tcW w:w="3911"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7"/>
        <w:numPr>
          <w:ilvl w:val="0"/>
          <w:numId w:val="1"/>
        </w:numPr>
        <w:ind w:firstLineChars="0"/>
        <w:jc w:val="left"/>
        <w:rPr>
          <w:rFonts w:ascii="黑体" w:hAnsi="仿宋" w:eastAsia="黑体"/>
          <w:color w:val="auto"/>
          <w:sz w:val="32"/>
          <w:szCs w:val="32"/>
        </w:rPr>
      </w:pPr>
      <w:r>
        <w:rPr>
          <w:rFonts w:hint="eastAsia" w:ascii="黑体" w:hAnsi="仿宋" w:eastAsia="黑体"/>
          <w:color w:val="auto"/>
          <w:sz w:val="32"/>
          <w:szCs w:val="32"/>
        </w:rPr>
        <w:t xml:space="preserve">一般公共预算财政拨款基本支出决算表 </w:t>
      </w:r>
    </w:p>
    <w:tbl>
      <w:tblPr>
        <w:tblW w:w="8723" w:type="dxa"/>
        <w:tblInd w:w="-2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9"/>
        <w:gridCol w:w="4016"/>
        <w:gridCol w:w="1189"/>
        <w:gridCol w:w="106"/>
        <w:gridCol w:w="214"/>
        <w:gridCol w:w="514"/>
        <w:gridCol w:w="288"/>
        <w:gridCol w:w="1336"/>
        <w:gridCol w:w="41"/>
      </w:tblGrid>
      <w:tr>
        <w:trPr>
          <w:trHeight w:val="23" w:hRule="atLeast"/>
        </w:trPr>
        <w:tc>
          <w:tcPr>
            <w:tcW w:w="8723" w:type="dxa"/>
            <w:gridSpan w:val="9"/>
            <w:tcBorders>
              <w:top w:val="nil"/>
              <w:left w:val="nil"/>
              <w:bottom w:val="nil"/>
              <w:right w:val="nil"/>
            </w:tcBorders>
            <w:vAlign w:val="center"/>
          </w:tcPr>
          <w:p>
            <w:pPr>
              <w:widowControl/>
              <w:spacing w:line="240" w:lineRule="auto"/>
              <w:jc w:val="center"/>
              <w:rPr>
                <w:rFonts w:ascii="黑体" w:hAnsi="Arial" w:eastAsia="黑体" w:cs="Arial"/>
                <w:color w:val="auto"/>
                <w:kern w:val="0"/>
                <w:sz w:val="44"/>
                <w:szCs w:val="44"/>
              </w:rPr>
            </w:pPr>
            <w:r>
              <w:rPr>
                <w:rFonts w:hint="eastAsia" w:ascii="黑体" w:hAnsi="Arial" w:eastAsia="黑体" w:cs="Arial"/>
                <w:color w:val="auto"/>
                <w:kern w:val="0"/>
                <w:sz w:val="36"/>
                <w:szCs w:val="36"/>
              </w:rPr>
              <w:t>一般公共预算财政拨款基本支出决算表</w:t>
            </w:r>
          </w:p>
        </w:tc>
      </w:tr>
      <w:tr>
        <w:trPr>
          <w:trHeight w:val="23" w:hRule="atLeast"/>
        </w:trPr>
        <w:tc>
          <w:tcPr>
            <w:tcW w:w="6224" w:type="dxa"/>
            <w:gridSpan w:val="3"/>
            <w:tcBorders>
              <w:top w:val="nil"/>
              <w:left w:val="nil"/>
              <w:bottom w:val="nil"/>
              <w:right w:val="nil"/>
            </w:tcBorders>
            <w:vAlign w:val="center"/>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2"/>
              </w:rPr>
              <w:t>编制单位：</w:t>
            </w:r>
            <w:r>
              <w:rPr>
                <w:rFonts w:hint="eastAsia" w:ascii="宋体" w:hAnsi="宋体" w:eastAsia="宋体" w:cs="Arial"/>
                <w:color w:val="auto"/>
                <w:kern w:val="0"/>
                <w:sz w:val="20"/>
                <w:szCs w:val="20"/>
              </w:rPr>
              <w:t>中国共产党连城县纪律检查委员会</w:t>
            </w:r>
          </w:p>
        </w:tc>
        <w:tc>
          <w:tcPr>
            <w:tcW w:w="320" w:type="dxa"/>
            <w:gridSpan w:val="2"/>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p>
        </w:tc>
        <w:tc>
          <w:tcPr>
            <w:tcW w:w="514" w:type="dxa"/>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p>
        </w:tc>
        <w:tc>
          <w:tcPr>
            <w:tcW w:w="1665" w:type="dxa"/>
            <w:gridSpan w:val="3"/>
            <w:tcBorders>
              <w:top w:val="nil"/>
              <w:left w:val="nil"/>
              <w:bottom w:val="nil"/>
              <w:right w:val="nil"/>
            </w:tcBorders>
            <w:vAlign w:val="bottom"/>
          </w:tcPr>
          <w:p>
            <w:pPr>
              <w:widowControl/>
              <w:spacing w:line="240" w:lineRule="auto"/>
              <w:jc w:val="right"/>
              <w:rPr>
                <w:rFonts w:ascii="宋体" w:hAnsi="宋体" w:eastAsia="宋体" w:cs="Arial"/>
                <w:color w:val="auto"/>
                <w:kern w:val="0"/>
                <w:sz w:val="22"/>
              </w:rPr>
            </w:pPr>
            <w:r>
              <w:rPr>
                <w:rFonts w:hint="eastAsia" w:ascii="宋体" w:hAnsi="宋体" w:eastAsia="宋体" w:cs="Arial"/>
                <w:color w:val="auto"/>
                <w:kern w:val="0"/>
                <w:sz w:val="22"/>
              </w:rPr>
              <w:t>单位：万元</w:t>
            </w:r>
          </w:p>
        </w:tc>
      </w:tr>
      <w:tr>
        <w:trPr>
          <w:gridAfter w:val="1"/>
          <w:wAfter w:w="41" w:type="dxa"/>
          <w:trHeight w:val="23" w:hRule="atLeast"/>
        </w:trPr>
        <w:tc>
          <w:tcPr>
            <w:tcW w:w="5035" w:type="dxa"/>
            <w:gridSpan w:val="2"/>
            <w:tcBorders>
              <w:top w:val="single" w:color="auto" w:sz="4" w:space="0"/>
              <w:left w:val="single" w:color="auto" w:sz="4" w:space="0"/>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    目</w:t>
            </w:r>
          </w:p>
        </w:tc>
        <w:tc>
          <w:tcPr>
            <w:tcW w:w="1295" w:type="dxa"/>
            <w:gridSpan w:val="2"/>
            <w:vMerge w:val="restart"/>
            <w:tcBorders>
              <w:top w:val="single" w:color="auto" w:sz="4" w:space="0"/>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合     计 </w:t>
            </w:r>
          </w:p>
        </w:tc>
        <w:tc>
          <w:tcPr>
            <w:tcW w:w="1016" w:type="dxa"/>
            <w:gridSpan w:val="3"/>
            <w:vMerge w:val="restart"/>
            <w:tcBorders>
              <w:top w:val="single" w:color="auto" w:sz="4" w:space="0"/>
              <w:left w:val="nil"/>
              <w:bottom w:val="single" w:color="auto"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人员经费</w:t>
            </w:r>
          </w:p>
        </w:tc>
        <w:tc>
          <w:tcPr>
            <w:tcW w:w="1336" w:type="dxa"/>
            <w:vMerge w:val="restart"/>
            <w:tcBorders>
              <w:top w:val="single" w:color="auto" w:sz="4" w:space="0"/>
              <w:left w:val="nil"/>
              <w:bottom w:val="single" w:color="auto" w:sz="4" w:space="0"/>
              <w:right w:val="single" w:color="auto"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公用经费</w:t>
            </w:r>
          </w:p>
        </w:tc>
      </w:tr>
      <w:tr>
        <w:trPr>
          <w:gridAfter w:val="1"/>
          <w:wAfter w:w="41" w:type="dxa"/>
          <w:trHeight w:val="23" w:hRule="atLeast"/>
        </w:trPr>
        <w:tc>
          <w:tcPr>
            <w:tcW w:w="1019" w:type="dxa"/>
            <w:tcBorders>
              <w:top w:val="single" w:color="auto" w:sz="4"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经济分类</w:t>
            </w:r>
            <w:r>
              <w:rPr>
                <w:rFonts w:hint="eastAsia" w:ascii="宋体" w:hAnsi="宋体" w:eastAsia="宋体" w:cs="Arial"/>
                <w:color w:val="auto"/>
                <w:kern w:val="0"/>
                <w:sz w:val="20"/>
                <w:szCs w:val="20"/>
              </w:rPr>
              <w:br/>
            </w:r>
            <w:r>
              <w:rPr>
                <w:rFonts w:hint="eastAsia" w:ascii="宋体" w:hAnsi="宋体" w:eastAsia="宋体" w:cs="Arial"/>
                <w:color w:val="auto"/>
                <w:kern w:val="0"/>
                <w:sz w:val="20"/>
                <w:szCs w:val="20"/>
              </w:rPr>
              <w:t>科目编码</w:t>
            </w:r>
          </w:p>
        </w:tc>
        <w:tc>
          <w:tcPr>
            <w:tcW w:w="4016" w:type="dxa"/>
            <w:tcBorders>
              <w:top w:val="single" w:color="auto"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科目名称</w:t>
            </w:r>
          </w:p>
        </w:tc>
        <w:tc>
          <w:tcPr>
            <w:tcW w:w="1295" w:type="dxa"/>
            <w:gridSpan w:val="2"/>
            <w:vMerge w:val="continue"/>
            <w:tcBorders>
              <w:top w:val="single" w:color="auto"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1016" w:type="dxa"/>
            <w:gridSpan w:val="3"/>
            <w:vMerge w:val="continue"/>
            <w:tcBorders>
              <w:top w:val="single" w:color="auto"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1336" w:type="dxa"/>
            <w:vMerge w:val="continue"/>
            <w:tcBorders>
              <w:top w:val="single" w:color="auto" w:sz="4" w:space="0"/>
              <w:left w:val="nil"/>
              <w:bottom w:val="single" w:color="000000" w:sz="4" w:space="0"/>
              <w:right w:val="single" w:color="auto" w:sz="4" w:space="0"/>
            </w:tcBorders>
            <w:vAlign w:val="center"/>
          </w:tcPr>
          <w:p>
            <w:pPr>
              <w:widowControl/>
              <w:spacing w:line="240" w:lineRule="auto"/>
              <w:jc w:val="left"/>
              <w:rPr>
                <w:rFonts w:ascii="宋体" w:hAnsi="宋体" w:eastAsia="宋体" w:cs="Arial"/>
                <w:color w:val="auto"/>
                <w:kern w:val="0"/>
                <w:sz w:val="20"/>
                <w:szCs w:val="20"/>
              </w:rPr>
            </w:pPr>
          </w:p>
        </w:tc>
      </w:tr>
      <w:tr>
        <w:trPr>
          <w:gridAfter w:val="1"/>
          <w:wAfter w:w="41" w:type="dxa"/>
          <w:trHeight w:val="23" w:hRule="atLeast"/>
        </w:trPr>
        <w:tc>
          <w:tcPr>
            <w:tcW w:w="5035" w:type="dxa"/>
            <w:gridSpan w:val="2"/>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合         计</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1,075.02</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908.81</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166.22</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工资福利支出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908.81</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908.81</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基本工资</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269.94</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269.94</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津贴补贴</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270.24</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270.24</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奖金</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伙食补助费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0.21</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0.21</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绩效工资</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机关事业单位基本养老保险缴费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84.71</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84.71</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30109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职业年金缴费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2.55</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2.55</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30110</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职工基本医疗保险缴费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37.56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37.56</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30111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公务员医疗补助缴费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28.07</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28.07</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30112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其他社会保障缴费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8.91</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8.91</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30113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住房公积金</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95.07</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95.07</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30114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医疗费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30199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其他工资福利支出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111.54</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111.54</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商品和服务支出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162.36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162.36</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办公费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37.75</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37.75</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印刷费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1.83</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1.83</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咨询费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手续费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0.11</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0.11</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水费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0.23</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0.23</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电费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2.86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2.86</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邮电费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1.92</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1.92</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取暖费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30209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物业管理费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差旅费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5.79</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5.79</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因公出国(境)费用 </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维修(护)费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2.72</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2.72</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租赁费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6.47</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6.47</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会议费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0.49</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0.49</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培训费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14.82</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14.82</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公务接待费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3.95</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3.95</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30218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专用材料费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被装购置费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专用燃料费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劳务费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29.52</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29.52</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委托业务费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工会经费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14.29</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14.29</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30229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福利费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30231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公务用车运行维护费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13.03</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13.03</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30239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其他交通费用</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30240</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税金及附加费用</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30299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其他商品和服务支出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26.56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26.56</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对个人和家庭的补助</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离休费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退休费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退职(役)费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抚恤金</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生活补助</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救济费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医疗费</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助学金</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30309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奖励金</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30310</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个人农业生产补贴</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30399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其他对个人和家庭的补助支出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33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资本性支出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3.86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3.86</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房屋建筑物购建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办公设备购置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2.36</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2.36</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专用设备购置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基础设施建设</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大型修缮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信息网络及软件购置更新</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1.50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1.50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物资储备</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31009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土地补偿</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31010</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安置补助</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31011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地上附着物和青苗补偿</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31012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拆迁补偿</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31013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公务用车购置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31019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其他交通工具购置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31021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文物和陈列品购置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31022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无形资产购置</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31099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其他资本性支出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对企业补助</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资本金注入</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政府投资基金股权投资</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31204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费用补贴</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31205</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利息补贴</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31299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其他对企业补助</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债务利息及费用支出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30701</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国内债务付息</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30702</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国外债务付息</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30703</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国内债务发行费用</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30704</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国外债务发行费用</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其他支出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39906</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赠与</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39907</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国家赔偿费用支出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39908</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对民间非营利组织和群众性自治组织补贴</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gridAfter w:val="1"/>
          <w:wAfter w:w="41" w:type="dxa"/>
          <w:trHeight w:val="23" w:hRule="atLeast"/>
        </w:trPr>
        <w:tc>
          <w:tcPr>
            <w:tcW w:w="1019"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39999</w:t>
            </w:r>
          </w:p>
        </w:tc>
        <w:tc>
          <w:tcPr>
            <w:tcW w:w="401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其他支出</w:t>
            </w:r>
          </w:p>
        </w:tc>
        <w:tc>
          <w:tcPr>
            <w:tcW w:w="1295"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1016" w:type="dxa"/>
            <w:gridSpan w:val="3"/>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133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jc w:val="left"/>
        <w:rPr>
          <w:rFonts w:ascii="黑体" w:hAnsi="仿宋" w:eastAsia="黑体"/>
          <w:color w:val="auto"/>
          <w:sz w:val="32"/>
          <w:szCs w:val="32"/>
        </w:rPr>
      </w:pPr>
      <w:r>
        <w:rPr>
          <w:rFonts w:hint="eastAsia" w:ascii="黑体" w:hAnsi="仿宋" w:eastAsia="黑体"/>
          <w:color w:val="auto"/>
          <w:sz w:val="32"/>
          <w:szCs w:val="32"/>
        </w:rPr>
        <w:t xml:space="preserve">八、政府性基金预算财政拨款收入支出决算表 </w:t>
      </w:r>
    </w:p>
    <w:tbl>
      <w:tblPr>
        <w:tblW w:w="91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0"/>
        <w:gridCol w:w="1120"/>
        <w:gridCol w:w="1341"/>
        <w:gridCol w:w="992"/>
        <w:gridCol w:w="935"/>
        <w:gridCol w:w="57"/>
        <w:gridCol w:w="1103"/>
        <w:gridCol w:w="31"/>
        <w:gridCol w:w="993"/>
        <w:gridCol w:w="1356"/>
      </w:tblGrid>
      <w:tr>
        <w:trPr>
          <w:trHeight w:val="735" w:hRule="atLeast"/>
        </w:trPr>
        <w:tc>
          <w:tcPr>
            <w:tcW w:w="9168" w:type="dxa"/>
            <w:gridSpan w:val="10"/>
            <w:tcBorders>
              <w:top w:val="nil"/>
              <w:left w:val="nil"/>
              <w:bottom w:val="nil"/>
              <w:right w:val="nil"/>
            </w:tcBorders>
            <w:vAlign w:val="center"/>
          </w:tcPr>
          <w:p>
            <w:pPr>
              <w:widowControl/>
              <w:spacing w:line="240" w:lineRule="auto"/>
              <w:jc w:val="center"/>
              <w:rPr>
                <w:rFonts w:ascii="宋体" w:hAnsi="宋体" w:eastAsia="宋体" w:cs="Arial"/>
                <w:color w:val="auto"/>
                <w:kern w:val="0"/>
                <w:sz w:val="44"/>
                <w:szCs w:val="44"/>
              </w:rPr>
            </w:pPr>
            <w:r>
              <w:rPr>
                <w:rFonts w:hint="eastAsia" w:ascii="黑体" w:hAnsi="Arial" w:eastAsia="黑体" w:cs="Arial"/>
                <w:color w:val="auto"/>
                <w:kern w:val="0"/>
                <w:sz w:val="36"/>
                <w:szCs w:val="36"/>
              </w:rPr>
              <w:t>政府性基金预算财政拨款收入支出决算表</w:t>
            </w:r>
          </w:p>
        </w:tc>
      </w:tr>
      <w:tr>
        <w:trPr>
          <w:trHeight w:val="315" w:hRule="atLeast"/>
        </w:trPr>
        <w:tc>
          <w:tcPr>
            <w:tcW w:w="5628" w:type="dxa"/>
            <w:gridSpan w:val="5"/>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p>
        </w:tc>
        <w:tc>
          <w:tcPr>
            <w:tcW w:w="1160" w:type="dxa"/>
            <w:gridSpan w:val="2"/>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p>
        </w:tc>
        <w:tc>
          <w:tcPr>
            <w:tcW w:w="2380" w:type="dxa"/>
            <w:gridSpan w:val="3"/>
            <w:tcBorders>
              <w:top w:val="nil"/>
              <w:left w:val="nil"/>
              <w:bottom w:val="nil"/>
              <w:right w:val="nil"/>
            </w:tcBorders>
            <w:vAlign w:val="bottom"/>
          </w:tcPr>
          <w:p>
            <w:pPr>
              <w:widowControl/>
              <w:spacing w:line="240" w:lineRule="auto"/>
              <w:jc w:val="right"/>
              <w:rPr>
                <w:rFonts w:ascii="宋体" w:hAnsi="宋体" w:eastAsia="宋体" w:cs="Arial"/>
                <w:color w:val="auto"/>
                <w:kern w:val="0"/>
                <w:sz w:val="24"/>
                <w:szCs w:val="24"/>
              </w:rPr>
            </w:pPr>
            <w:r>
              <w:rPr>
                <w:rFonts w:hint="eastAsia" w:ascii="宋体" w:hAnsi="宋体" w:eastAsia="宋体" w:cs="Arial"/>
                <w:color w:val="auto"/>
                <w:kern w:val="0"/>
                <w:sz w:val="24"/>
                <w:szCs w:val="24"/>
              </w:rPr>
              <w:t>单位：万元</w:t>
            </w:r>
          </w:p>
        </w:tc>
      </w:tr>
      <w:tr>
        <w:trPr>
          <w:trHeight w:val="387" w:hRule="atLeast"/>
        </w:trPr>
        <w:tc>
          <w:tcPr>
            <w:tcW w:w="12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科目编码</w:t>
            </w:r>
          </w:p>
        </w:tc>
        <w:tc>
          <w:tcPr>
            <w:tcW w:w="1120"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科目名称</w:t>
            </w:r>
          </w:p>
        </w:tc>
        <w:tc>
          <w:tcPr>
            <w:tcW w:w="1341"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年初结转和结余</w:t>
            </w:r>
          </w:p>
        </w:tc>
        <w:tc>
          <w:tcPr>
            <w:tcW w:w="992"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本年收入</w:t>
            </w:r>
          </w:p>
        </w:tc>
        <w:tc>
          <w:tcPr>
            <w:tcW w:w="3119" w:type="dxa"/>
            <w:gridSpan w:val="5"/>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本年支出</w:t>
            </w:r>
          </w:p>
        </w:tc>
        <w:tc>
          <w:tcPr>
            <w:tcW w:w="1356" w:type="dxa"/>
            <w:vMerge w:val="restart"/>
            <w:tcBorders>
              <w:top w:val="single" w:color="000000" w:sz="4" w:space="0"/>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年末结转和结余</w:t>
            </w:r>
          </w:p>
        </w:tc>
      </w:tr>
      <w:tr>
        <w:trPr>
          <w:trHeight w:val="387" w:hRule="atLeast"/>
        </w:trPr>
        <w:tc>
          <w:tcPr>
            <w:tcW w:w="12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1120"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1341"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992"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c>
          <w:tcPr>
            <w:tcW w:w="992"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小计</w:t>
            </w:r>
          </w:p>
        </w:tc>
        <w:tc>
          <w:tcPr>
            <w:tcW w:w="1134"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基本支出</w:t>
            </w:r>
          </w:p>
        </w:tc>
        <w:tc>
          <w:tcPr>
            <w:tcW w:w="993"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项目支出</w:t>
            </w:r>
          </w:p>
        </w:tc>
        <w:tc>
          <w:tcPr>
            <w:tcW w:w="1356" w:type="dxa"/>
            <w:vMerge w:val="continue"/>
            <w:tcBorders>
              <w:top w:val="single" w:color="000000" w:sz="4" w:space="0"/>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p>
        </w:tc>
      </w:tr>
      <w:tr>
        <w:trPr>
          <w:trHeight w:val="308" w:hRule="atLeast"/>
        </w:trPr>
        <w:tc>
          <w:tcPr>
            <w:tcW w:w="1240"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合计行</w:t>
            </w:r>
          </w:p>
        </w:tc>
        <w:tc>
          <w:tcPr>
            <w:tcW w:w="112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0</w:t>
            </w:r>
          </w:p>
        </w:tc>
        <w:tc>
          <w:tcPr>
            <w:tcW w:w="1341"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c>
          <w:tcPr>
            <w:tcW w:w="992"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c>
          <w:tcPr>
            <w:tcW w:w="992"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c>
          <w:tcPr>
            <w:tcW w:w="1134" w:type="dxa"/>
            <w:gridSpan w:val="2"/>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c>
          <w:tcPr>
            <w:tcW w:w="993"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c>
          <w:tcPr>
            <w:tcW w:w="135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lang w:val="en-US" w:eastAsia="zh-CN"/>
              </w:rPr>
              <w:t>0</w:t>
            </w:r>
            <w:r>
              <w:rPr>
                <w:rFonts w:hint="eastAsia" w:ascii="宋体" w:hAnsi="宋体" w:eastAsia="宋体" w:cs="Arial"/>
                <w:color w:val="auto"/>
                <w:kern w:val="0"/>
                <w:sz w:val="20"/>
                <w:szCs w:val="20"/>
              </w:rPr>
              <w:t>　</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pStyle w:val="6"/>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本单位</w:t>
      </w:r>
      <w:r>
        <w:rPr>
          <w:rFonts w:hint="eastAsia" w:ascii="Times New Roman" w:hAnsi="Times New Roman" w:eastAsia="宋体" w:cs="Times New Roman"/>
          <w:color w:val="auto"/>
          <w:lang w:val="en-US" w:eastAsia="zh-CN"/>
        </w:rPr>
        <w:t>2019</w:t>
      </w:r>
      <w:r>
        <w:rPr>
          <w:rFonts w:hint="eastAsia" w:ascii="Times New Roman" w:hAnsi="Times New Roman" w:eastAsia="宋体" w:cs="Times New Roman"/>
          <w:color w:val="auto"/>
        </w:rPr>
        <w:t>年度没有使用政府性基金预算拨款安排的收支</w:t>
      </w:r>
    </w:p>
    <w:p>
      <w:pPr>
        <w:jc w:val="left"/>
        <w:rPr>
          <w:rFonts w:ascii="黑体" w:hAnsi="仿宋" w:eastAsia="黑体"/>
          <w:color w:val="auto"/>
          <w:sz w:val="32"/>
          <w:szCs w:val="32"/>
        </w:rPr>
      </w:pPr>
      <w:r>
        <w:rPr>
          <w:rFonts w:hint="eastAsia" w:ascii="黑体" w:hAnsi="仿宋" w:eastAsia="黑体"/>
          <w:color w:val="auto"/>
          <w:sz w:val="32"/>
          <w:szCs w:val="32"/>
        </w:rPr>
        <w:t xml:space="preserve">九、机构运行信息表 </w:t>
      </w:r>
    </w:p>
    <w:tbl>
      <w:tblPr>
        <w:tblW w:w="9540" w:type="dxa"/>
        <w:tblInd w:w="-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84"/>
        <w:gridCol w:w="896"/>
        <w:gridCol w:w="560"/>
        <w:gridCol w:w="3480"/>
        <w:gridCol w:w="1020"/>
      </w:tblGrid>
      <w:tr>
        <w:trPr>
          <w:trHeight w:val="540" w:hRule="atLeast"/>
        </w:trPr>
        <w:tc>
          <w:tcPr>
            <w:tcW w:w="9540" w:type="dxa"/>
            <w:gridSpan w:val="5"/>
            <w:tcBorders>
              <w:top w:val="nil"/>
              <w:left w:val="nil"/>
              <w:bottom w:val="nil"/>
              <w:right w:val="nil"/>
            </w:tcBorders>
            <w:vAlign w:val="bottom"/>
          </w:tcPr>
          <w:p>
            <w:pPr>
              <w:widowControl/>
              <w:spacing w:line="240" w:lineRule="auto"/>
              <w:jc w:val="center"/>
              <w:rPr>
                <w:rFonts w:ascii="宋体" w:hAnsi="宋体" w:eastAsia="宋体" w:cs="Arial"/>
                <w:color w:val="auto"/>
                <w:kern w:val="0"/>
                <w:sz w:val="44"/>
                <w:szCs w:val="44"/>
              </w:rPr>
            </w:pPr>
            <w:r>
              <w:rPr>
                <w:rFonts w:hint="eastAsia" w:ascii="黑体" w:hAnsi="Arial" w:eastAsia="黑体" w:cs="Arial"/>
                <w:color w:val="auto"/>
                <w:kern w:val="0"/>
                <w:sz w:val="36"/>
                <w:szCs w:val="36"/>
              </w:rPr>
              <w:t>机构运行信息表</w:t>
            </w:r>
          </w:p>
        </w:tc>
      </w:tr>
      <w:tr>
        <w:trPr>
          <w:trHeight w:val="315" w:hRule="atLeast"/>
        </w:trPr>
        <w:tc>
          <w:tcPr>
            <w:tcW w:w="5040" w:type="dxa"/>
            <w:gridSpan w:val="3"/>
            <w:tcBorders>
              <w:top w:val="nil"/>
              <w:left w:val="nil"/>
              <w:bottom w:val="nil"/>
              <w:right w:val="nil"/>
            </w:tcBorders>
            <w:vAlign w:val="bottom"/>
          </w:tcPr>
          <w:p>
            <w:pPr>
              <w:widowControl/>
              <w:spacing w:line="240" w:lineRule="auto"/>
              <w:jc w:val="left"/>
              <w:rPr>
                <w:rFonts w:ascii="Arial" w:hAnsi="Arial" w:eastAsia="宋体" w:cs="Arial"/>
                <w:color w:val="auto"/>
                <w:kern w:val="0"/>
                <w:sz w:val="20"/>
                <w:szCs w:val="20"/>
              </w:rPr>
            </w:pPr>
            <w:r>
              <w:rPr>
                <w:rFonts w:hint="eastAsia" w:ascii="宋体" w:hAnsi="宋体" w:eastAsia="宋体" w:cs="Arial"/>
                <w:color w:val="auto"/>
                <w:kern w:val="0"/>
                <w:sz w:val="24"/>
                <w:szCs w:val="24"/>
              </w:rPr>
              <w:t>编制单位：</w:t>
            </w:r>
            <w:r>
              <w:rPr>
                <w:rFonts w:hint="eastAsia" w:ascii="宋体" w:hAnsi="宋体" w:eastAsia="宋体" w:cs="Arial"/>
                <w:color w:val="auto"/>
                <w:kern w:val="0"/>
                <w:sz w:val="20"/>
                <w:szCs w:val="20"/>
              </w:rPr>
              <w:t>中国共产党连城县纪律检查委员会</w:t>
            </w:r>
          </w:p>
        </w:tc>
        <w:tc>
          <w:tcPr>
            <w:tcW w:w="4500" w:type="dxa"/>
            <w:gridSpan w:val="2"/>
            <w:tcBorders>
              <w:top w:val="nil"/>
              <w:left w:val="nil"/>
              <w:bottom w:val="single" w:color="000000" w:sz="8" w:space="0"/>
              <w:right w:val="nil"/>
            </w:tcBorders>
            <w:vAlign w:val="bottom"/>
          </w:tcPr>
          <w:p>
            <w:pPr>
              <w:widowControl/>
              <w:spacing w:line="240" w:lineRule="auto"/>
              <w:jc w:val="right"/>
              <w:rPr>
                <w:rFonts w:ascii="宋体" w:hAnsi="宋体" w:eastAsia="宋体" w:cs="Arial"/>
                <w:color w:val="auto"/>
                <w:kern w:val="0"/>
                <w:sz w:val="24"/>
                <w:szCs w:val="24"/>
              </w:rPr>
            </w:pPr>
            <w:r>
              <w:rPr>
                <w:rFonts w:hint="eastAsia" w:ascii="宋体" w:hAnsi="宋体" w:eastAsia="宋体" w:cs="Arial"/>
                <w:color w:val="auto"/>
                <w:kern w:val="0"/>
                <w:sz w:val="24"/>
                <w:szCs w:val="24"/>
              </w:rPr>
              <w:t>金额单位：万元</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  目</w:t>
            </w:r>
          </w:p>
        </w:tc>
        <w:tc>
          <w:tcPr>
            <w:tcW w:w="896"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统计数</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项  目</w:t>
            </w:r>
          </w:p>
        </w:tc>
        <w:tc>
          <w:tcPr>
            <w:tcW w:w="1020" w:type="dxa"/>
            <w:tcBorders>
              <w:top w:val="nil"/>
              <w:left w:val="nil"/>
              <w:bottom w:val="single" w:color="000000" w:sz="4" w:space="0"/>
              <w:right w:val="single" w:color="000000" w:sz="4" w:space="0"/>
            </w:tcBorders>
            <w:vAlign w:val="center"/>
          </w:tcPr>
          <w:p>
            <w:pPr>
              <w:widowControl/>
              <w:spacing w:line="240" w:lineRule="auto"/>
              <w:jc w:val="center"/>
              <w:rPr>
                <w:rFonts w:ascii="宋体" w:hAnsi="宋体" w:eastAsia="宋体" w:cs="Arial"/>
                <w:color w:val="auto"/>
                <w:kern w:val="0"/>
                <w:sz w:val="20"/>
                <w:szCs w:val="20"/>
              </w:rPr>
            </w:pPr>
            <w:r>
              <w:rPr>
                <w:rFonts w:hint="eastAsia" w:ascii="宋体" w:hAnsi="宋体" w:eastAsia="宋体" w:cs="Arial"/>
                <w:color w:val="auto"/>
                <w:kern w:val="0"/>
                <w:sz w:val="20"/>
                <w:szCs w:val="20"/>
              </w:rPr>
              <w:t>统计数</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一、“三公”经费支出</w:t>
            </w:r>
          </w:p>
        </w:tc>
        <w:tc>
          <w:tcPr>
            <w:tcW w:w="89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二、机关运行经费</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166.22</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（一）支出合计</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42.68</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（一）行政单位</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166.22</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1.因公出国（境）费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（二）参照公务员法管理事业单位</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2.公务用车购置及运行维护费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38.73</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三、国有资产占用情况</w:t>
            </w:r>
          </w:p>
        </w:tc>
        <w:tc>
          <w:tcPr>
            <w:tcW w:w="102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（1）公务用车购置费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24.29</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（一）车辆数合计（辆）</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5.00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（2）公务用车运行维护费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14.44</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1.副部（省）级及以上领导用车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3.公务接待费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3.95</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2.主要领导干部用车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（1）国内接待费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3.95</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3.机要通信用车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其中：外事接待费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4.应急保障用车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（2）国（境）外接待费</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5.执法执勤用车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（二）相关统计数</w:t>
            </w:r>
          </w:p>
        </w:tc>
        <w:tc>
          <w:tcPr>
            <w:tcW w:w="89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6.特种专业技术用车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1.因公出国（境）团组数（个）</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7.离退休干部用车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2.因公出国（境）人次数（人）</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8.其他用车</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5.00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3.公务用车购置数（辆）</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1.00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（二）单价50万元以上通用设备（台，套）</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4.公务用车保有量（辆）</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5.00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（三）单价100万元以上专用设备（台，套）</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5.国内公务接待批次（个）</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82.00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四、政府采购支出信息</w:t>
            </w:r>
          </w:p>
        </w:tc>
        <w:tc>
          <w:tcPr>
            <w:tcW w:w="1020"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其中：外事接待批次（个）</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（一）政府采购支出合计</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35.58</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6.国内公务接待人次（人）</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328.00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1．政府采购货物支出</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35.58</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其中：外事接待人次（人）</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2．政府采购工程支出</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7.国（境）外公务接待批次（个）</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3．政府采购服务支出</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xml:space="preserve">  8.国（境）外公务接待人次（人）</w:t>
            </w:r>
          </w:p>
        </w:tc>
        <w:tc>
          <w:tcPr>
            <w:tcW w:w="896"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（二）政府采购授予中小企业合同金额</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r>
        <w:trPr>
          <w:trHeight w:val="308" w:hRule="atLeast"/>
        </w:trPr>
        <w:tc>
          <w:tcPr>
            <w:tcW w:w="3584" w:type="dxa"/>
            <w:tcBorders>
              <w:top w:val="nil"/>
              <w:left w:val="single" w:color="000000" w:sz="4" w:space="0"/>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896" w:type="dxa"/>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w:t>
            </w:r>
          </w:p>
        </w:tc>
        <w:tc>
          <w:tcPr>
            <w:tcW w:w="4040" w:type="dxa"/>
            <w:gridSpan w:val="2"/>
            <w:tcBorders>
              <w:top w:val="nil"/>
              <w:left w:val="nil"/>
              <w:bottom w:val="single" w:color="000000" w:sz="4" w:space="0"/>
              <w:right w:val="single" w:color="000000" w:sz="4" w:space="0"/>
            </w:tcBorders>
            <w:vAlign w:val="center"/>
          </w:tcPr>
          <w:p>
            <w:pPr>
              <w:widowControl/>
              <w:spacing w:line="240" w:lineRule="auto"/>
              <w:jc w:val="left"/>
              <w:rPr>
                <w:rFonts w:ascii="宋体" w:hAnsi="宋体" w:eastAsia="宋体" w:cs="Arial"/>
                <w:color w:val="auto"/>
                <w:kern w:val="0"/>
                <w:sz w:val="20"/>
                <w:szCs w:val="20"/>
              </w:rPr>
            </w:pPr>
            <w:r>
              <w:rPr>
                <w:rFonts w:hint="eastAsia" w:ascii="宋体" w:hAnsi="宋体" w:eastAsia="宋体" w:cs="Arial"/>
                <w:color w:val="auto"/>
                <w:kern w:val="0"/>
                <w:sz w:val="20"/>
                <w:szCs w:val="20"/>
              </w:rPr>
              <w:t>　      其中：授予小微企业合同金额</w:t>
            </w:r>
          </w:p>
        </w:tc>
        <w:tc>
          <w:tcPr>
            <w:tcW w:w="1020" w:type="dxa"/>
            <w:tcBorders>
              <w:top w:val="nil"/>
              <w:left w:val="nil"/>
              <w:bottom w:val="single" w:color="000000" w:sz="4" w:space="0"/>
              <w:right w:val="single" w:color="000000" w:sz="4" w:space="0"/>
            </w:tcBorders>
            <w:vAlign w:val="center"/>
          </w:tcPr>
          <w:p>
            <w:pPr>
              <w:widowControl/>
              <w:spacing w:line="240" w:lineRule="auto"/>
              <w:jc w:val="right"/>
              <w:rPr>
                <w:rFonts w:ascii="宋体" w:hAnsi="宋体" w:eastAsia="宋体" w:cs="Arial"/>
                <w:color w:val="auto"/>
                <w:kern w:val="0"/>
                <w:sz w:val="20"/>
                <w:szCs w:val="20"/>
              </w:rPr>
            </w:pPr>
            <w:r>
              <w:rPr>
                <w:rFonts w:hint="eastAsia" w:ascii="宋体" w:hAnsi="宋体" w:eastAsia="宋体" w:cs="Arial"/>
                <w:color w:val="auto"/>
                <w:kern w:val="0"/>
                <w:sz w:val="20"/>
                <w:szCs w:val="20"/>
              </w:rPr>
              <w:t>0.00</w:t>
            </w:r>
          </w:p>
        </w:tc>
      </w:tr>
    </w:tbl>
    <w:p>
      <w:pPr>
        <w:pStyle w:val="6"/>
        <w:rPr>
          <w:rFonts w:ascii="Times New Roman" w:hAnsi="Times New Roman" w:eastAsia="宋体" w:cs="Times New Roman"/>
          <w:color w:val="auto"/>
        </w:rPr>
      </w:pPr>
      <w:r>
        <w:rPr>
          <w:rFonts w:hint="eastAsia" w:ascii="Times New Roman" w:hAnsi="Times New Roman" w:eastAsia="宋体" w:cs="Times New Roman"/>
          <w:color w:val="auto"/>
        </w:rPr>
        <w:t>注：</w:t>
      </w:r>
      <w:r>
        <w:rPr>
          <w:rFonts w:ascii="Times New Roman" w:hAnsi="Times New Roman" w:eastAsia="宋体" w:cs="Times New Roman"/>
          <w:color w:val="auto"/>
        </w:rPr>
        <w:t>本表金额转换为万元时，因四舍五入可能存在尾</w:t>
      </w:r>
      <w:r>
        <w:rPr>
          <w:rFonts w:hint="eastAsia" w:ascii="Times New Roman" w:hAnsi="Times New Roman" w:eastAsia="宋体" w:cs="Times New Roman"/>
          <w:color w:val="auto"/>
        </w:rPr>
        <w:t>数</w:t>
      </w:r>
      <w:r>
        <w:rPr>
          <w:rFonts w:ascii="Times New Roman" w:hAnsi="Times New Roman" w:eastAsia="宋体" w:cs="Times New Roman"/>
          <w:color w:val="auto"/>
        </w:rPr>
        <w:t>差</w:t>
      </w:r>
      <w:r>
        <w:rPr>
          <w:rFonts w:hint="eastAsia" w:ascii="Times New Roman" w:hAnsi="Times New Roman" w:eastAsia="宋体" w:cs="Times New Roman"/>
          <w:color w:val="auto"/>
        </w:rPr>
        <w:t>异</w:t>
      </w:r>
      <w:r>
        <w:rPr>
          <w:rFonts w:ascii="Times New Roman" w:hAnsi="Times New Roman" w:eastAsia="宋体" w:cs="Times New Roman"/>
          <w:color w:val="auto"/>
        </w:rPr>
        <w:t>。</w:t>
      </w:r>
    </w:p>
    <w:p>
      <w:pPr>
        <w:rPr>
          <w:rFonts w:ascii="黑体" w:hAnsi="黑体" w:eastAsia="黑体"/>
          <w:color w:val="auto"/>
          <w:sz w:val="36"/>
          <w:szCs w:val="36"/>
        </w:rPr>
      </w:pPr>
      <w:r>
        <w:rPr>
          <w:rFonts w:hint="eastAsia" w:ascii="黑体" w:hAnsi="黑体" w:eastAsia="黑体"/>
          <w:color w:val="auto"/>
          <w:sz w:val="36"/>
          <w:szCs w:val="36"/>
        </w:rPr>
        <w:br w:type="page"/>
      </w:r>
    </w:p>
    <w:p>
      <w:pPr>
        <w:spacing w:line="600" w:lineRule="exact"/>
        <w:jc w:val="center"/>
        <w:rPr>
          <w:rFonts w:ascii="黑体" w:hAnsi="黑体" w:eastAsia="黑体"/>
          <w:color w:val="auto"/>
          <w:sz w:val="36"/>
          <w:szCs w:val="36"/>
        </w:rPr>
      </w:pPr>
      <w:r>
        <w:rPr>
          <w:rFonts w:hint="eastAsia" w:ascii="黑体" w:hAnsi="黑体" w:eastAsia="黑体"/>
          <w:color w:val="auto"/>
          <w:sz w:val="36"/>
          <w:szCs w:val="36"/>
        </w:rPr>
        <w:t>第三部分 2019年度部门决算情况说明</w:t>
      </w:r>
    </w:p>
    <w:p>
      <w:pPr>
        <w:spacing w:line="600" w:lineRule="exact"/>
        <w:rPr>
          <w:rFonts w:ascii="仿宋" w:hAnsi="仿宋" w:eastAsia="仿宋"/>
          <w:color w:val="auto"/>
          <w:sz w:val="32"/>
          <w:szCs w:val="32"/>
        </w:rPr>
      </w:pP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一、收入支出决算总体情况说明</w:t>
      </w:r>
    </w:p>
    <w:p>
      <w:pPr>
        <w:tabs>
          <w:tab w:val="left" w:pos="7513"/>
        </w:tabs>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2019年中共连城县纪律检查委员会年初结转和结余0万元，本年收入1414.42万元，本年支出1340.83万元，事业基金弥补收支差额0万元，结余分配0万元，年末结转和结余73.59万元。</w:t>
      </w:r>
    </w:p>
    <w:p>
      <w:pPr>
        <w:autoSpaceDE w:val="0"/>
        <w:autoSpaceDN w:val="0"/>
        <w:adjustRightInd w:val="0"/>
        <w:spacing w:line="600" w:lineRule="exact"/>
        <w:ind w:firstLine="640" w:firstLineChars="200"/>
        <w:rPr>
          <w:rFonts w:ascii="仿宋" w:hAnsi="仿宋" w:eastAsia="仿宋" w:cs="Times New Roman"/>
          <w:color w:val="auto"/>
          <w:sz w:val="32"/>
          <w:szCs w:val="32"/>
        </w:rPr>
      </w:pPr>
      <w:r>
        <w:rPr>
          <w:rFonts w:hint="eastAsia" w:ascii="仿宋" w:hAnsi="仿宋" w:eastAsia="仿宋" w:cs="仿宋_GB2312"/>
          <w:color w:val="auto"/>
          <w:sz w:val="32"/>
          <w:szCs w:val="32"/>
        </w:rPr>
        <w:t>（一）2019年收入1414.42万元，比2018年决算数增加192.61万元，增长 16％</w:t>
      </w:r>
      <w:r>
        <w:rPr>
          <w:rFonts w:hint="eastAsia" w:ascii="仿宋" w:hAnsi="仿宋" w:eastAsia="仿宋"/>
          <w:color w:val="auto"/>
          <w:sz w:val="32"/>
          <w:szCs w:val="32"/>
        </w:rPr>
        <w:t>，</w:t>
      </w:r>
      <w:r>
        <w:rPr>
          <w:rFonts w:hint="eastAsia" w:ascii="仿宋" w:hAnsi="仿宋" w:eastAsia="仿宋" w:cs="仿宋_GB2312"/>
          <w:color w:val="auto"/>
          <w:sz w:val="32"/>
          <w:szCs w:val="32"/>
        </w:rPr>
        <w:t>具体情况如下：</w:t>
      </w:r>
    </w:p>
    <w:p>
      <w:pPr>
        <w:autoSpaceDE w:val="0"/>
        <w:autoSpaceDN w:val="0"/>
        <w:adjustRightInd w:val="0"/>
        <w:spacing w:line="600" w:lineRule="exact"/>
        <w:ind w:left="160" w:leftChars="76" w:firstLine="480" w:firstLineChars="150"/>
        <w:rPr>
          <w:rFonts w:ascii="仿宋" w:hAnsi="仿宋" w:eastAsia="仿宋"/>
          <w:color w:val="auto"/>
          <w:sz w:val="32"/>
          <w:szCs w:val="32"/>
        </w:rPr>
      </w:pPr>
      <w:r>
        <w:rPr>
          <w:rFonts w:ascii="仿宋" w:hAnsi="仿宋" w:eastAsia="仿宋" w:cs="仿宋_GB2312"/>
          <w:color w:val="auto"/>
          <w:sz w:val="32"/>
          <w:szCs w:val="32"/>
        </w:rPr>
        <w:t>1.财政拨款收入</w:t>
      </w:r>
      <w:r>
        <w:rPr>
          <w:rFonts w:hint="eastAsia" w:ascii="仿宋" w:hAnsi="仿宋" w:eastAsia="仿宋" w:cs="仿宋_GB2312"/>
          <w:color w:val="auto"/>
          <w:sz w:val="32"/>
          <w:szCs w:val="32"/>
        </w:rPr>
        <w:t>1211.62</w:t>
      </w:r>
      <w:r>
        <w:rPr>
          <w:rFonts w:ascii="仿宋" w:hAnsi="仿宋" w:eastAsia="仿宋" w:cs="仿宋_GB2312"/>
          <w:color w:val="auto"/>
          <w:sz w:val="32"/>
          <w:szCs w:val="32"/>
        </w:rPr>
        <w:t>万元，其中政府性基金</w:t>
      </w:r>
      <w:r>
        <w:rPr>
          <w:rFonts w:hint="eastAsia" w:ascii="仿宋" w:hAnsi="仿宋" w:eastAsia="仿宋" w:cs="仿宋_GB2312"/>
          <w:color w:val="auto"/>
          <w:sz w:val="32"/>
          <w:szCs w:val="32"/>
        </w:rPr>
        <w:t>0</w:t>
      </w:r>
      <w:r>
        <w:rPr>
          <w:rFonts w:ascii="仿宋" w:hAnsi="仿宋" w:eastAsia="仿宋" w:cs="仿宋_GB2312"/>
          <w:color w:val="auto"/>
          <w:sz w:val="32"/>
          <w:szCs w:val="32"/>
        </w:rPr>
        <w:t>万元。</w:t>
      </w:r>
    </w:p>
    <w:p>
      <w:pPr>
        <w:autoSpaceDE w:val="0"/>
        <w:autoSpaceDN w:val="0"/>
        <w:adjustRightInd w:val="0"/>
        <w:spacing w:line="600" w:lineRule="exact"/>
        <w:ind w:firstLine="640" w:firstLineChars="200"/>
        <w:rPr>
          <w:rFonts w:ascii="仿宋" w:hAnsi="仿宋" w:eastAsia="仿宋"/>
          <w:color w:val="auto"/>
          <w:sz w:val="32"/>
          <w:szCs w:val="32"/>
        </w:rPr>
      </w:pPr>
      <w:r>
        <w:rPr>
          <w:rFonts w:ascii="仿宋" w:hAnsi="仿宋" w:eastAsia="仿宋" w:cs="仿宋_GB2312"/>
          <w:color w:val="auto"/>
          <w:sz w:val="32"/>
          <w:szCs w:val="32"/>
        </w:rPr>
        <w:t>2.事业收入</w:t>
      </w:r>
      <w:r>
        <w:rPr>
          <w:rFonts w:hint="eastAsia" w:ascii="仿宋" w:hAnsi="仿宋" w:eastAsia="仿宋" w:cs="仿宋_GB2312"/>
          <w:color w:val="auto"/>
          <w:sz w:val="32"/>
          <w:szCs w:val="32"/>
        </w:rPr>
        <w:t>0万元。</w:t>
      </w:r>
    </w:p>
    <w:p>
      <w:pPr>
        <w:autoSpaceDE w:val="0"/>
        <w:autoSpaceDN w:val="0"/>
        <w:adjustRightInd w:val="0"/>
        <w:spacing w:line="600" w:lineRule="exact"/>
        <w:ind w:firstLine="640" w:firstLineChars="200"/>
        <w:rPr>
          <w:rFonts w:ascii="仿宋" w:hAnsi="仿宋" w:eastAsia="仿宋"/>
          <w:color w:val="auto"/>
          <w:sz w:val="32"/>
          <w:szCs w:val="32"/>
        </w:rPr>
      </w:pPr>
      <w:r>
        <w:rPr>
          <w:rFonts w:ascii="仿宋" w:hAnsi="仿宋" w:eastAsia="仿宋" w:cs="仿宋_GB2312"/>
          <w:color w:val="auto"/>
          <w:sz w:val="32"/>
          <w:szCs w:val="32"/>
        </w:rPr>
        <w:t>3.经营收入</w:t>
      </w:r>
      <w:r>
        <w:rPr>
          <w:rFonts w:hint="eastAsia" w:ascii="仿宋" w:hAnsi="仿宋" w:eastAsia="仿宋" w:cs="仿宋_GB2312"/>
          <w:color w:val="auto"/>
          <w:sz w:val="32"/>
          <w:szCs w:val="32"/>
        </w:rPr>
        <w:t>0万元。</w:t>
      </w:r>
    </w:p>
    <w:p>
      <w:pPr>
        <w:autoSpaceDE w:val="0"/>
        <w:autoSpaceDN w:val="0"/>
        <w:adjustRightInd w:val="0"/>
        <w:spacing w:line="600" w:lineRule="exact"/>
        <w:ind w:firstLine="640" w:firstLineChars="200"/>
        <w:rPr>
          <w:rFonts w:ascii="仿宋" w:hAnsi="仿宋" w:eastAsia="仿宋"/>
          <w:color w:val="auto"/>
          <w:sz w:val="32"/>
          <w:szCs w:val="32"/>
        </w:rPr>
      </w:pPr>
      <w:r>
        <w:rPr>
          <w:rFonts w:ascii="仿宋" w:hAnsi="仿宋" w:eastAsia="仿宋" w:cs="仿宋_GB2312"/>
          <w:color w:val="auto"/>
          <w:sz w:val="32"/>
          <w:szCs w:val="32"/>
        </w:rPr>
        <w:t>4.</w:t>
      </w:r>
      <w:r>
        <w:rPr>
          <w:rFonts w:hint="eastAsia" w:ascii="仿宋" w:hAnsi="仿宋" w:eastAsia="仿宋"/>
          <w:color w:val="auto"/>
          <w:sz w:val="32"/>
          <w:szCs w:val="32"/>
        </w:rPr>
        <w:t>上级补助收入</w:t>
      </w:r>
      <w:r>
        <w:rPr>
          <w:rFonts w:hint="eastAsia" w:ascii="仿宋" w:hAnsi="仿宋" w:eastAsia="仿宋" w:cs="仿宋_GB2312"/>
          <w:color w:val="auto"/>
          <w:sz w:val="32"/>
          <w:szCs w:val="32"/>
        </w:rPr>
        <w:t>0</w:t>
      </w:r>
      <w:r>
        <w:rPr>
          <w:rFonts w:hint="eastAsia" w:ascii="仿宋" w:hAnsi="仿宋" w:eastAsia="仿宋"/>
          <w:color w:val="auto"/>
          <w:sz w:val="32"/>
          <w:szCs w:val="32"/>
        </w:rPr>
        <w:t>万元。</w:t>
      </w:r>
    </w:p>
    <w:p>
      <w:pPr>
        <w:autoSpaceDE w:val="0"/>
        <w:autoSpaceDN w:val="0"/>
        <w:adjustRightInd w:val="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5.附属单位上缴收入</w:t>
      </w:r>
      <w:r>
        <w:rPr>
          <w:rFonts w:hint="eastAsia" w:ascii="仿宋" w:hAnsi="仿宋" w:eastAsia="仿宋" w:cs="仿宋_GB2312"/>
          <w:color w:val="auto"/>
          <w:sz w:val="32"/>
          <w:szCs w:val="32"/>
        </w:rPr>
        <w:t>0万元。</w:t>
      </w:r>
    </w:p>
    <w:p>
      <w:pPr>
        <w:autoSpaceDE w:val="0"/>
        <w:autoSpaceDN w:val="0"/>
        <w:adjustRightInd w:val="0"/>
        <w:spacing w:line="600" w:lineRule="exact"/>
        <w:ind w:firstLine="640" w:firstLineChars="200"/>
        <w:rPr>
          <w:rFonts w:ascii="仿宋" w:hAnsi="仿宋" w:eastAsia="仿宋" w:cs="仿宋_GB2312"/>
          <w:color w:val="auto"/>
          <w:sz w:val="32"/>
          <w:szCs w:val="32"/>
        </w:rPr>
      </w:pPr>
      <w:r>
        <w:rPr>
          <w:rFonts w:ascii="仿宋" w:hAnsi="仿宋" w:eastAsia="仿宋" w:cs="仿宋_GB2312"/>
          <w:color w:val="auto"/>
          <w:sz w:val="32"/>
          <w:szCs w:val="32"/>
        </w:rPr>
        <w:t>6.其他收入</w:t>
      </w:r>
      <w:r>
        <w:rPr>
          <w:rFonts w:hint="eastAsia" w:ascii="仿宋" w:hAnsi="仿宋" w:eastAsia="仿宋" w:cs="仿宋_GB2312"/>
          <w:color w:val="auto"/>
          <w:sz w:val="32"/>
          <w:szCs w:val="32"/>
        </w:rPr>
        <w:t>202.8万元。</w:t>
      </w:r>
    </w:p>
    <w:p>
      <w:pPr>
        <w:autoSpaceDE w:val="0"/>
        <w:autoSpaceDN w:val="0"/>
        <w:adjustRightInd w:val="0"/>
        <w:spacing w:line="600" w:lineRule="exact"/>
        <w:ind w:firstLine="640" w:firstLineChars="200"/>
        <w:rPr>
          <w:rFonts w:ascii="仿宋" w:hAnsi="仿宋" w:eastAsia="仿宋" w:cs="Times New Roman"/>
          <w:color w:val="auto"/>
          <w:sz w:val="32"/>
          <w:szCs w:val="32"/>
        </w:rPr>
      </w:pPr>
      <w:r>
        <w:rPr>
          <w:rFonts w:hint="eastAsia" w:ascii="仿宋" w:hAnsi="仿宋" w:eastAsia="仿宋" w:cs="仿宋_GB2312"/>
          <w:color w:val="auto"/>
          <w:sz w:val="32"/>
          <w:szCs w:val="32"/>
        </w:rPr>
        <w:t>（二）2019年支出1340.83万元，比2018年决算数增加142.18万元，增长12％</w:t>
      </w:r>
      <w:r>
        <w:rPr>
          <w:rFonts w:hint="eastAsia" w:ascii="仿宋" w:hAnsi="仿宋" w:eastAsia="仿宋"/>
          <w:color w:val="auto"/>
          <w:sz w:val="32"/>
          <w:szCs w:val="32"/>
        </w:rPr>
        <w:t>，</w:t>
      </w:r>
      <w:r>
        <w:rPr>
          <w:rFonts w:hint="eastAsia" w:ascii="仿宋" w:hAnsi="仿宋" w:eastAsia="仿宋" w:cs="仿宋_GB2312"/>
          <w:color w:val="auto"/>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color w:val="auto"/>
          <w:sz w:val="32"/>
          <w:szCs w:val="32"/>
        </w:rPr>
      </w:pPr>
      <w:r>
        <w:rPr>
          <w:rFonts w:ascii="仿宋" w:hAnsi="仿宋" w:eastAsia="仿宋" w:cs="仿宋_GB2312"/>
          <w:color w:val="auto"/>
          <w:sz w:val="32"/>
          <w:szCs w:val="32"/>
        </w:rPr>
        <w:t>1.</w:t>
      </w:r>
      <w:r>
        <w:rPr>
          <w:rFonts w:hint="eastAsia" w:ascii="仿宋" w:hAnsi="仿宋" w:eastAsia="仿宋" w:cs="仿宋_GB2312"/>
          <w:color w:val="auto"/>
          <w:sz w:val="32"/>
          <w:szCs w:val="32"/>
        </w:rPr>
        <w:t>基本支出1277.83万元。其中，人员支出1111.61万元，公用支出166.22万元。</w:t>
      </w:r>
    </w:p>
    <w:p>
      <w:pPr>
        <w:tabs>
          <w:tab w:val="left" w:pos="7513"/>
        </w:tabs>
        <w:adjustRightInd w:val="0"/>
        <w:snapToGrid w:val="0"/>
        <w:spacing w:line="600" w:lineRule="exact"/>
        <w:ind w:left="716" w:leftChars="341"/>
        <w:rPr>
          <w:rFonts w:ascii="仿宋" w:hAnsi="仿宋" w:eastAsia="仿宋"/>
          <w:color w:val="auto"/>
          <w:sz w:val="32"/>
          <w:szCs w:val="32"/>
        </w:rPr>
      </w:pPr>
      <w:r>
        <w:rPr>
          <w:rFonts w:ascii="仿宋" w:hAnsi="仿宋" w:eastAsia="仿宋" w:cs="仿宋_GB2312"/>
          <w:color w:val="auto"/>
          <w:sz w:val="32"/>
          <w:szCs w:val="32"/>
        </w:rPr>
        <w:t>2.</w:t>
      </w:r>
      <w:r>
        <w:rPr>
          <w:rFonts w:hint="eastAsia" w:ascii="仿宋" w:hAnsi="仿宋" w:eastAsia="仿宋" w:cs="仿宋_GB2312"/>
          <w:color w:val="auto"/>
          <w:sz w:val="32"/>
          <w:szCs w:val="32"/>
        </w:rPr>
        <w:t>项目支出63万元。</w:t>
      </w:r>
    </w:p>
    <w:p>
      <w:pPr>
        <w:tabs>
          <w:tab w:val="left" w:pos="7513"/>
        </w:tabs>
        <w:adjustRightInd w:val="0"/>
        <w:snapToGrid w:val="0"/>
        <w:spacing w:line="600" w:lineRule="exact"/>
        <w:ind w:left="716" w:leftChars="341"/>
        <w:rPr>
          <w:rFonts w:ascii="仿宋" w:hAnsi="仿宋" w:eastAsia="仿宋"/>
          <w:color w:val="auto"/>
          <w:sz w:val="32"/>
          <w:szCs w:val="32"/>
        </w:rPr>
      </w:pPr>
      <w:r>
        <w:rPr>
          <w:rFonts w:ascii="仿宋" w:hAnsi="仿宋" w:eastAsia="仿宋" w:cs="仿宋_GB2312"/>
          <w:color w:val="auto"/>
          <w:sz w:val="32"/>
          <w:szCs w:val="32"/>
        </w:rPr>
        <w:t>3.</w:t>
      </w:r>
      <w:r>
        <w:rPr>
          <w:rFonts w:hint="eastAsia" w:ascii="仿宋" w:hAnsi="仿宋" w:eastAsia="仿宋" w:cs="仿宋_GB2312"/>
          <w:color w:val="auto"/>
          <w:sz w:val="32"/>
          <w:szCs w:val="32"/>
        </w:rPr>
        <w:t>上缴上级支出0万元。</w:t>
      </w:r>
    </w:p>
    <w:p>
      <w:pPr>
        <w:tabs>
          <w:tab w:val="left" w:pos="7513"/>
        </w:tabs>
        <w:adjustRightInd w:val="0"/>
        <w:snapToGrid w:val="0"/>
        <w:spacing w:line="600" w:lineRule="exact"/>
        <w:ind w:firstLine="640" w:firstLineChars="200"/>
        <w:rPr>
          <w:rFonts w:ascii="仿宋" w:hAnsi="仿宋" w:eastAsia="仿宋"/>
          <w:color w:val="auto"/>
          <w:sz w:val="32"/>
          <w:szCs w:val="32"/>
        </w:rPr>
      </w:pPr>
      <w:r>
        <w:rPr>
          <w:rFonts w:ascii="仿宋" w:hAnsi="仿宋" w:eastAsia="仿宋" w:cs="仿宋_GB2312"/>
          <w:color w:val="auto"/>
          <w:sz w:val="32"/>
          <w:szCs w:val="32"/>
        </w:rPr>
        <w:t>4.</w:t>
      </w:r>
      <w:r>
        <w:rPr>
          <w:rFonts w:hint="eastAsia" w:ascii="仿宋" w:hAnsi="仿宋" w:eastAsia="仿宋" w:cs="仿宋_GB2312"/>
          <w:color w:val="auto"/>
          <w:sz w:val="32"/>
          <w:szCs w:val="32"/>
        </w:rPr>
        <w:t>经营支出0万元。</w:t>
      </w:r>
    </w:p>
    <w:p>
      <w:pPr>
        <w:spacing w:line="600" w:lineRule="exact"/>
        <w:ind w:firstLine="640" w:firstLineChars="200"/>
        <w:rPr>
          <w:rFonts w:ascii="仿宋" w:hAnsi="仿宋" w:eastAsia="仿宋"/>
          <w:color w:val="auto"/>
          <w:sz w:val="32"/>
          <w:szCs w:val="32"/>
        </w:rPr>
      </w:pPr>
      <w:r>
        <w:rPr>
          <w:rFonts w:ascii="仿宋" w:hAnsi="仿宋" w:eastAsia="仿宋" w:cs="仿宋_GB2312"/>
          <w:color w:val="auto"/>
          <w:sz w:val="32"/>
          <w:szCs w:val="32"/>
        </w:rPr>
        <w:t>5.</w:t>
      </w:r>
      <w:r>
        <w:rPr>
          <w:rFonts w:hint="eastAsia" w:ascii="仿宋" w:hAnsi="仿宋" w:eastAsia="仿宋" w:cs="仿宋_GB2312"/>
          <w:color w:val="auto"/>
          <w:sz w:val="32"/>
          <w:szCs w:val="32"/>
        </w:rPr>
        <w:t>对附属单位补助支出0万元。</w:t>
      </w:r>
    </w:p>
    <w:p>
      <w:pPr>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二、一般公共预算拨款支出决算情况说明</w:t>
      </w:r>
    </w:p>
    <w:p>
      <w:pPr>
        <w:spacing w:line="600" w:lineRule="exact"/>
        <w:ind w:firstLine="640" w:firstLineChars="200"/>
        <w:jc w:val="left"/>
        <w:rPr>
          <w:rFonts w:ascii="仿宋" w:hAnsi="仿宋" w:eastAsia="仿宋"/>
          <w:color w:val="auto"/>
          <w:sz w:val="32"/>
          <w:szCs w:val="32"/>
        </w:rPr>
      </w:pPr>
      <w:r>
        <w:rPr>
          <w:rFonts w:hint="eastAsia" w:ascii="仿宋" w:hAnsi="仿宋" w:eastAsia="仿宋" w:cs="仿宋_GB2312"/>
          <w:color w:val="auto"/>
          <w:sz w:val="32"/>
          <w:szCs w:val="32"/>
        </w:rPr>
        <w:t>2019</w:t>
      </w:r>
      <w:r>
        <w:rPr>
          <w:rFonts w:hint="eastAsia" w:ascii="仿宋" w:hAnsi="仿宋" w:eastAsia="仿宋"/>
          <w:color w:val="auto"/>
          <w:sz w:val="32"/>
          <w:szCs w:val="32"/>
        </w:rPr>
        <w:t>年一般公共预算拨款支出</w:t>
      </w:r>
      <w:r>
        <w:rPr>
          <w:rFonts w:hint="eastAsia" w:ascii="仿宋" w:hAnsi="仿宋" w:eastAsia="仿宋"/>
          <w:color w:val="auto"/>
          <w:sz w:val="32"/>
          <w:szCs w:val="32"/>
          <w:lang w:val="en-US" w:eastAsia="zh-CN"/>
        </w:rPr>
        <w:t>1138.02</w:t>
      </w:r>
      <w:r>
        <w:rPr>
          <w:rFonts w:hint="eastAsia" w:ascii="仿宋" w:hAnsi="仿宋" w:eastAsia="仿宋"/>
          <w:color w:val="auto"/>
          <w:sz w:val="32"/>
          <w:szCs w:val="32"/>
        </w:rPr>
        <w:t>万元，比上年决算数减少2.28万元，下降0.1</w:t>
      </w:r>
      <w:r>
        <w:rPr>
          <w:rFonts w:ascii="仿宋" w:hAnsi="仿宋" w:eastAsia="仿宋"/>
          <w:color w:val="auto"/>
          <w:sz w:val="32"/>
          <w:szCs w:val="32"/>
        </w:rPr>
        <w:t>%，具体情况如下：</w:t>
      </w:r>
    </w:p>
    <w:p>
      <w:pPr>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（一）2011101行政运行1071.02万元，较上年决算数减少65.28万元，下降6</w:t>
      </w:r>
      <w:r>
        <w:rPr>
          <w:rFonts w:ascii="仿宋" w:hAnsi="仿宋" w:eastAsia="仿宋"/>
          <w:color w:val="auto"/>
          <w:sz w:val="32"/>
          <w:szCs w:val="32"/>
        </w:rPr>
        <w:t>%。主要原因是</w:t>
      </w:r>
      <w:r>
        <w:rPr>
          <w:rFonts w:hint="eastAsia" w:ascii="仿宋" w:hAnsi="仿宋" w:eastAsia="仿宋"/>
          <w:color w:val="auto"/>
          <w:sz w:val="32"/>
          <w:szCs w:val="32"/>
        </w:rPr>
        <w:t>严格 “三公经费”管理，合理配置资源，降低机关运行成本</w:t>
      </w:r>
      <w:r>
        <w:rPr>
          <w:rFonts w:ascii="仿宋" w:hAnsi="仿宋" w:eastAsia="仿宋"/>
          <w:color w:val="auto"/>
          <w:sz w:val="32"/>
          <w:szCs w:val="32"/>
        </w:rPr>
        <w:t>。</w:t>
      </w:r>
    </w:p>
    <w:p>
      <w:pPr>
        <w:spacing w:line="600" w:lineRule="exact"/>
        <w:ind w:firstLine="640" w:firstLineChars="200"/>
        <w:jc w:val="left"/>
        <w:rPr>
          <w:rFonts w:ascii="仿宋" w:hAnsi="仿宋" w:eastAsia="仿宋"/>
          <w:color w:val="auto"/>
          <w:sz w:val="32"/>
          <w:szCs w:val="32"/>
        </w:rPr>
      </w:pPr>
      <w:r>
        <w:rPr>
          <w:rFonts w:hint="eastAsia" w:ascii="仿宋" w:hAnsi="仿宋" w:eastAsia="仿宋"/>
          <w:color w:val="auto"/>
          <w:sz w:val="32"/>
          <w:szCs w:val="32"/>
        </w:rPr>
        <w:t>（二）2011102一般行政管理实务63万元，较上年决算数增加63万元，增长100</w:t>
      </w:r>
      <w:r>
        <w:rPr>
          <w:rFonts w:ascii="仿宋" w:hAnsi="仿宋" w:eastAsia="仿宋"/>
          <w:color w:val="auto"/>
          <w:sz w:val="32"/>
          <w:szCs w:val="32"/>
        </w:rPr>
        <w:t>%。主要原因是</w:t>
      </w:r>
      <w:r>
        <w:rPr>
          <w:rFonts w:hint="eastAsia" w:ascii="仿宋" w:hAnsi="仿宋" w:eastAsia="仿宋"/>
          <w:color w:val="auto"/>
          <w:sz w:val="32"/>
          <w:szCs w:val="32"/>
        </w:rPr>
        <w:t>该资金为2019年度新增专项资金</w:t>
      </w:r>
      <w:r>
        <w:rPr>
          <w:rFonts w:ascii="仿宋" w:hAnsi="仿宋" w:eastAsia="仿宋"/>
          <w:color w:val="auto"/>
          <w:sz w:val="32"/>
          <w:szCs w:val="32"/>
        </w:rPr>
        <w:t>。</w:t>
      </w:r>
    </w:p>
    <w:p>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（三）2011199其他纪检监察事务支出4万元，较上年决算数持平</w:t>
      </w:r>
      <w:r>
        <w:rPr>
          <w:rFonts w:ascii="仿宋" w:hAnsi="仿宋" w:eastAsia="仿宋"/>
          <w:color w:val="auto"/>
          <w:sz w:val="32"/>
          <w:szCs w:val="32"/>
        </w:rPr>
        <w:t>。</w:t>
      </w:r>
    </w:p>
    <w:p>
      <w:pPr>
        <w:tabs>
          <w:tab w:val="left" w:pos="7513"/>
        </w:tabs>
        <w:adjustRightInd w:val="0"/>
        <w:snapToGrid w:val="0"/>
        <w:spacing w:line="600" w:lineRule="exact"/>
        <w:ind w:firstLine="640" w:firstLineChars="200"/>
        <w:rPr>
          <w:rFonts w:ascii="黑体" w:hAnsi="黑体" w:eastAsia="黑体" w:cs="仿宋_GB2312"/>
          <w:bCs/>
          <w:color w:val="auto"/>
          <w:sz w:val="32"/>
          <w:szCs w:val="32"/>
        </w:rPr>
      </w:pPr>
      <w:r>
        <w:rPr>
          <w:rFonts w:hint="eastAsia" w:ascii="黑体" w:hAnsi="黑体" w:eastAsia="黑体" w:cs="仿宋_GB2312"/>
          <w:bCs/>
          <w:color w:val="auto"/>
          <w:sz w:val="32"/>
          <w:szCs w:val="32"/>
        </w:rPr>
        <w:t>三、政府性基金支出决算情况说明</w:t>
      </w:r>
    </w:p>
    <w:p>
      <w:pPr>
        <w:ind w:firstLine="320" w:firstLineChars="100"/>
        <w:jc w:val="left"/>
        <w:rPr>
          <w:rFonts w:ascii="仿宋" w:hAnsi="仿宋" w:eastAsia="仿宋"/>
          <w:color w:val="auto"/>
          <w:sz w:val="32"/>
          <w:szCs w:val="32"/>
        </w:rPr>
      </w:pPr>
      <w:r>
        <w:rPr>
          <w:rFonts w:hint="eastAsia" w:ascii="仿宋" w:hAnsi="仿宋" w:eastAsia="仿宋" w:cs="仿宋_GB2312"/>
          <w:color w:val="auto"/>
          <w:sz w:val="32"/>
          <w:szCs w:val="32"/>
        </w:rPr>
        <w:t>2019年度</w:t>
      </w:r>
      <w:r>
        <w:rPr>
          <w:rFonts w:ascii="仿宋" w:hAnsi="仿宋" w:eastAsia="仿宋" w:cs="仿宋_GB2312"/>
          <w:color w:val="auto"/>
          <w:sz w:val="32"/>
          <w:szCs w:val="32"/>
        </w:rPr>
        <w:t>政府性基金支出</w:t>
      </w:r>
      <w:r>
        <w:rPr>
          <w:rFonts w:hint="eastAsia" w:ascii="仿宋" w:hAnsi="仿宋" w:eastAsia="仿宋" w:cs="仿宋_GB2312"/>
          <w:color w:val="auto"/>
          <w:sz w:val="32"/>
          <w:szCs w:val="32"/>
          <w:lang w:val="en-US" w:eastAsia="zh-CN"/>
        </w:rPr>
        <w:t>0</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lang w:eastAsia="zh-CN"/>
        </w:rPr>
        <w:t>与上年持平。</w:t>
      </w:r>
      <w:r>
        <w:rPr>
          <w:rFonts w:hint="eastAsia" w:ascii="仿宋" w:hAnsi="仿宋" w:eastAsia="仿宋" w:cs="仿宋_GB2312"/>
          <w:color w:val="auto"/>
          <w:sz w:val="32"/>
          <w:szCs w:val="32"/>
        </w:rPr>
        <w:t>本单位2019年度没有使用政府性基金预算拨款安排的收支。</w:t>
      </w:r>
    </w:p>
    <w:p>
      <w:pPr>
        <w:tabs>
          <w:tab w:val="left" w:pos="7513"/>
        </w:tabs>
        <w:adjustRightInd w:val="0"/>
        <w:snapToGrid w:val="0"/>
        <w:spacing w:line="600" w:lineRule="exact"/>
        <w:ind w:firstLine="640" w:firstLineChars="200"/>
        <w:rPr>
          <w:rFonts w:ascii="黑体" w:hAnsi="黑体" w:eastAsia="黑体" w:cs="仿宋_GB2312"/>
          <w:bCs/>
          <w:color w:val="auto"/>
          <w:sz w:val="32"/>
          <w:szCs w:val="32"/>
        </w:rPr>
      </w:pPr>
      <w:r>
        <w:rPr>
          <w:rFonts w:hint="eastAsia" w:ascii="黑体" w:hAnsi="黑体" w:eastAsia="黑体" w:cs="仿宋_GB2312"/>
          <w:bCs/>
          <w:color w:val="auto"/>
          <w:sz w:val="32"/>
          <w:szCs w:val="32"/>
        </w:rPr>
        <w:t>四、一般公共预算财政拨款基本支出决算情况说明</w:t>
      </w:r>
    </w:p>
    <w:p>
      <w:pPr>
        <w:tabs>
          <w:tab w:val="left" w:pos="7513"/>
        </w:tabs>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2019年度</w:t>
      </w:r>
      <w:r>
        <w:rPr>
          <w:rFonts w:hint="eastAsia" w:ascii="仿宋" w:hAnsi="仿宋" w:eastAsia="仿宋"/>
          <w:color w:val="auto"/>
          <w:sz w:val="32"/>
          <w:szCs w:val="32"/>
        </w:rPr>
        <w:t>一般公共预算</w:t>
      </w:r>
      <w:r>
        <w:rPr>
          <w:rFonts w:hint="eastAsia" w:ascii="仿宋" w:hAnsi="仿宋" w:eastAsia="仿宋" w:cs="仿宋_GB2312"/>
          <w:color w:val="auto"/>
          <w:sz w:val="32"/>
          <w:szCs w:val="32"/>
        </w:rPr>
        <w:t>财政拨款基本支出1075.02万元，其中：</w:t>
      </w:r>
    </w:p>
    <w:p>
      <w:pPr>
        <w:tabs>
          <w:tab w:val="left" w:pos="7513"/>
        </w:tabs>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一）人员经费908.80万元，主要包括：基本工资、津贴补贴、伙食补助费、机关事业单位基本养老保险缴费、职业年金缴费、职工基本医疗保险缴费、公务员医疗补助缴费、其他社会保障缴费、住房公积金、其他工资福利支出。</w:t>
      </w:r>
    </w:p>
    <w:p>
      <w:pPr>
        <w:tabs>
          <w:tab w:val="left" w:pos="7513"/>
        </w:tabs>
        <w:adjustRightInd w:val="0"/>
        <w:snapToGrid w:val="0"/>
        <w:spacing w:line="600" w:lineRule="exact"/>
        <w:ind w:firstLine="640" w:firstLineChars="200"/>
        <w:rPr>
          <w:rFonts w:ascii="仿宋" w:hAnsi="仿宋" w:eastAsia="仿宋" w:cs="仿宋_GB2312"/>
          <w:color w:val="auto"/>
          <w:sz w:val="32"/>
          <w:szCs w:val="32"/>
        </w:rPr>
      </w:pPr>
      <w:r>
        <w:rPr>
          <w:rFonts w:hint="eastAsia" w:ascii="仿宋" w:hAnsi="仿宋" w:eastAsia="仿宋" w:cs="仿宋_GB2312"/>
          <w:color w:val="auto"/>
          <w:sz w:val="32"/>
          <w:szCs w:val="32"/>
        </w:rPr>
        <w:t>（二）公用经费166.22万元，主要包括：办公费、印刷费、手续费、水费、电费、邮电费、差旅费、维修（护）费、租赁费、会议费、培训费、公务接待费、劳务费、工会经费、福利费、公务用车运行维护费、其他商品和服务支出、办公设备购置、信息网络及软件购置更新。</w:t>
      </w:r>
    </w:p>
    <w:p>
      <w:pPr>
        <w:tabs>
          <w:tab w:val="left" w:pos="7513"/>
        </w:tabs>
        <w:adjustRightInd w:val="0"/>
        <w:snapToGrid w:val="0"/>
        <w:spacing w:line="600" w:lineRule="exact"/>
        <w:ind w:firstLine="640" w:firstLineChars="200"/>
        <w:rPr>
          <w:rFonts w:ascii="黑体" w:hAnsi="黑体" w:eastAsia="黑体" w:cs="仿宋_GB2312"/>
          <w:bCs/>
          <w:color w:val="auto"/>
          <w:sz w:val="32"/>
          <w:szCs w:val="32"/>
        </w:rPr>
      </w:pPr>
      <w:r>
        <w:rPr>
          <w:rFonts w:hint="eastAsia" w:ascii="黑体" w:hAnsi="黑体" w:eastAsia="黑体" w:cs="仿宋_GB2312"/>
          <w:bCs/>
          <w:color w:val="auto"/>
          <w:sz w:val="32"/>
          <w:szCs w:val="32"/>
        </w:rPr>
        <w:t>五、</w:t>
      </w:r>
      <w:r>
        <w:rPr>
          <w:rFonts w:hint="eastAsia" w:ascii="黑体" w:hAnsi="黑体" w:eastAsia="黑体"/>
          <w:color w:val="auto"/>
          <w:sz w:val="32"/>
          <w:szCs w:val="32"/>
        </w:rPr>
        <w:t>一般公共预算拨款</w:t>
      </w:r>
      <w:r>
        <w:rPr>
          <w:rFonts w:hint="eastAsia" w:ascii="黑体" w:hAnsi="黑体" w:eastAsia="黑体" w:cs="仿宋_GB2312"/>
          <w:bCs/>
          <w:color w:val="auto"/>
          <w:sz w:val="32"/>
          <w:szCs w:val="32"/>
        </w:rPr>
        <w:t>“三公”经费支出决算情况说明</w:t>
      </w:r>
    </w:p>
    <w:p>
      <w:pPr>
        <w:tabs>
          <w:tab w:val="left" w:pos="7513"/>
        </w:tabs>
        <w:adjustRightInd w:val="0"/>
        <w:snapToGrid w:val="0"/>
        <w:spacing w:line="600" w:lineRule="exact"/>
        <w:ind w:firstLine="704" w:firstLineChars="220"/>
        <w:jc w:val="left"/>
        <w:rPr>
          <w:rFonts w:ascii="仿宋" w:hAnsi="仿宋" w:eastAsia="仿宋" w:cs="仿宋_GB2312"/>
          <w:color w:val="auto"/>
          <w:sz w:val="32"/>
          <w:szCs w:val="32"/>
        </w:rPr>
      </w:pPr>
      <w:r>
        <w:rPr>
          <w:rFonts w:hint="eastAsia" w:ascii="仿宋" w:hAnsi="仿宋" w:eastAsia="仿宋" w:cs="仿宋_GB2312"/>
          <w:color w:val="auto"/>
          <w:sz w:val="32"/>
          <w:szCs w:val="32"/>
        </w:rPr>
        <w:t>2019</w:t>
      </w:r>
      <w:r>
        <w:rPr>
          <w:rFonts w:ascii="仿宋" w:hAnsi="仿宋" w:eastAsia="仿宋" w:cs="仿宋_GB2312"/>
          <w:color w:val="auto"/>
          <w:sz w:val="32"/>
          <w:szCs w:val="32"/>
        </w:rPr>
        <w:t>年</w:t>
      </w:r>
      <w:r>
        <w:rPr>
          <w:rFonts w:hint="eastAsia" w:ascii="仿宋" w:hAnsi="仿宋" w:eastAsia="仿宋" w:cs="仿宋_GB2312"/>
          <w:color w:val="auto"/>
          <w:sz w:val="32"/>
          <w:szCs w:val="32"/>
        </w:rPr>
        <w:t>度</w:t>
      </w:r>
      <w:r>
        <w:rPr>
          <w:rFonts w:ascii="仿宋" w:hAnsi="仿宋" w:eastAsia="仿宋" w:cs="仿宋_GB2312"/>
          <w:color w:val="auto"/>
          <w:sz w:val="32"/>
          <w:szCs w:val="32"/>
        </w:rPr>
        <w:t>“三公”经费</w:t>
      </w:r>
      <w:r>
        <w:rPr>
          <w:rFonts w:hint="eastAsia" w:ascii="仿宋" w:hAnsi="仿宋" w:eastAsia="仿宋" w:cs="仿宋_GB2312"/>
          <w:color w:val="auto"/>
          <w:sz w:val="32"/>
          <w:szCs w:val="32"/>
        </w:rPr>
        <w:t>财政拨款支出42.68万元，比年初预算的84.2万元下降49</w:t>
      </w:r>
      <w:r>
        <w:rPr>
          <w:rFonts w:ascii="仿宋" w:hAnsi="仿宋" w:eastAsia="仿宋" w:cs="仿宋_GB2312"/>
          <w:color w:val="auto"/>
          <w:sz w:val="32"/>
          <w:szCs w:val="32"/>
        </w:rPr>
        <w:t>%。</w:t>
      </w:r>
      <w:r>
        <w:rPr>
          <w:rFonts w:hint="eastAsia" w:ascii="仿宋" w:hAnsi="仿宋" w:eastAsia="仿宋" w:cs="仿宋_GB2312"/>
          <w:color w:val="auto"/>
          <w:sz w:val="32"/>
          <w:szCs w:val="32"/>
        </w:rPr>
        <w:t>主要原因是公务用车年初预算购置两辆，现仅购置一辆执法用车</w:t>
      </w:r>
      <w:r>
        <w:rPr>
          <w:rFonts w:ascii="仿宋" w:hAnsi="仿宋" w:eastAsia="仿宋" w:cs="仿宋_GB2312"/>
          <w:color w:val="auto"/>
          <w:sz w:val="32"/>
          <w:szCs w:val="32"/>
        </w:rPr>
        <w:t>。具体情况如下：</w:t>
      </w:r>
      <w:r>
        <w:rPr>
          <w:rFonts w:ascii="仿宋" w:hAnsi="仿宋" w:eastAsia="仿宋" w:cs="仿宋_GB2312"/>
          <w:color w:val="auto"/>
          <w:sz w:val="32"/>
          <w:szCs w:val="32"/>
        </w:rPr>
        <w:br/>
      </w:r>
      <w:r>
        <w:rPr>
          <w:rFonts w:hint="eastAsia" w:ascii="仿宋" w:hAnsi="仿宋" w:eastAsia="仿宋" w:cs="仿宋_GB2312"/>
          <w:color w:val="auto"/>
          <w:sz w:val="32"/>
          <w:szCs w:val="32"/>
        </w:rPr>
        <w:t>　　（一）因公出国（境）费支出0万元，</w:t>
      </w:r>
      <w:r>
        <w:rPr>
          <w:rFonts w:hint="eastAsia" w:ascii="仿宋" w:hAnsi="仿宋" w:eastAsia="仿宋" w:cs="仿宋_GB2312"/>
          <w:color w:val="auto"/>
          <w:sz w:val="32"/>
          <w:szCs w:val="32"/>
          <w:lang w:eastAsia="zh-CN"/>
        </w:rPr>
        <w:t>与</w:t>
      </w:r>
      <w:r>
        <w:rPr>
          <w:rFonts w:hint="eastAsia" w:ascii="仿宋" w:hAnsi="仿宋" w:eastAsia="仿宋" w:cs="仿宋_GB2312"/>
          <w:color w:val="auto"/>
          <w:sz w:val="32"/>
          <w:szCs w:val="32"/>
        </w:rPr>
        <w:t>年初预算的0万元</w:t>
      </w:r>
      <w:r>
        <w:rPr>
          <w:rFonts w:hint="eastAsia" w:ascii="仿宋" w:hAnsi="仿宋" w:eastAsia="仿宋" w:cs="仿宋_GB2312"/>
          <w:color w:val="auto"/>
          <w:sz w:val="32"/>
          <w:szCs w:val="32"/>
          <w:lang w:eastAsia="zh-CN"/>
        </w:rPr>
        <w:t>一致</w:t>
      </w:r>
      <w:r>
        <w:rPr>
          <w:rFonts w:hint="eastAsia" w:ascii="仿宋" w:hAnsi="仿宋" w:eastAsia="仿宋" w:cs="仿宋_GB2312"/>
          <w:color w:val="auto"/>
          <w:sz w:val="32"/>
          <w:szCs w:val="32"/>
        </w:rPr>
        <w:t>。全年安排本部门组织的出国团组0个，参加其他部门出国团组0个；全年因公出国（境）累计0人次。</w:t>
      </w:r>
    </w:p>
    <w:p>
      <w:pPr>
        <w:tabs>
          <w:tab w:val="left" w:pos="7513"/>
        </w:tabs>
        <w:adjustRightInd w:val="0"/>
        <w:snapToGrid w:val="0"/>
        <w:spacing w:line="600" w:lineRule="exact"/>
        <w:ind w:firstLine="645"/>
        <w:jc w:val="left"/>
        <w:rPr>
          <w:rFonts w:ascii="仿宋" w:hAnsi="仿宋" w:eastAsia="仿宋" w:cs="仿宋_GB2312"/>
          <w:color w:val="auto"/>
          <w:sz w:val="32"/>
          <w:szCs w:val="32"/>
        </w:rPr>
      </w:pPr>
      <w:r>
        <w:rPr>
          <w:rFonts w:ascii="仿宋" w:hAnsi="仿宋" w:eastAsia="仿宋" w:cs="仿宋_GB2312"/>
          <w:color w:val="auto"/>
          <w:sz w:val="32"/>
          <w:szCs w:val="32"/>
        </w:rPr>
        <w:t>（二）公务用车购置及运行费</w:t>
      </w:r>
      <w:r>
        <w:rPr>
          <w:rFonts w:hint="eastAsia" w:ascii="仿宋" w:hAnsi="仿宋" w:eastAsia="仿宋" w:cs="仿宋_GB2312"/>
          <w:color w:val="auto"/>
          <w:sz w:val="32"/>
          <w:szCs w:val="32"/>
        </w:rPr>
        <w:t>支出38.73万元，比年初预算的80万元下降52</w:t>
      </w:r>
      <w:r>
        <w:rPr>
          <w:rFonts w:ascii="仿宋" w:hAnsi="仿宋" w:eastAsia="仿宋" w:cs="仿宋_GB2312"/>
          <w:color w:val="auto"/>
          <w:sz w:val="32"/>
          <w:szCs w:val="32"/>
        </w:rPr>
        <w:t>%</w:t>
      </w:r>
      <w:r>
        <w:rPr>
          <w:rFonts w:hint="eastAsia" w:ascii="仿宋" w:hAnsi="仿宋" w:eastAsia="仿宋" w:cs="仿宋_GB2312"/>
          <w:color w:val="auto"/>
          <w:sz w:val="32"/>
          <w:szCs w:val="32"/>
        </w:rPr>
        <w:t>，主要是公务用车年初预算购置两辆，现仅购置一辆执法用车。</w:t>
      </w:r>
      <w:r>
        <w:rPr>
          <w:rFonts w:ascii="仿宋" w:hAnsi="仿宋" w:eastAsia="仿宋" w:cs="仿宋_GB2312"/>
          <w:color w:val="auto"/>
          <w:sz w:val="32"/>
          <w:szCs w:val="32"/>
        </w:rPr>
        <w:t>其中：</w:t>
      </w:r>
    </w:p>
    <w:p>
      <w:pPr>
        <w:tabs>
          <w:tab w:val="left" w:pos="7513"/>
        </w:tabs>
        <w:adjustRightInd w:val="0"/>
        <w:snapToGrid w:val="0"/>
        <w:spacing w:line="600" w:lineRule="exact"/>
        <w:ind w:firstLine="645"/>
        <w:jc w:val="left"/>
        <w:rPr>
          <w:rFonts w:ascii="仿宋" w:hAnsi="仿宋" w:eastAsia="仿宋" w:cs="仿宋_GB2312"/>
          <w:color w:val="auto"/>
          <w:sz w:val="32"/>
          <w:szCs w:val="32"/>
        </w:rPr>
      </w:pPr>
      <w:r>
        <w:rPr>
          <w:rFonts w:ascii="仿宋" w:hAnsi="仿宋" w:eastAsia="仿宋" w:cs="仿宋_GB2312"/>
          <w:color w:val="auto"/>
          <w:sz w:val="32"/>
          <w:szCs w:val="32"/>
        </w:rPr>
        <w:t>公务用车购置费</w:t>
      </w:r>
      <w:r>
        <w:rPr>
          <w:rFonts w:hint="eastAsia" w:ascii="仿宋" w:hAnsi="仿宋" w:eastAsia="仿宋" w:cs="仿宋_GB2312"/>
          <w:color w:val="auto"/>
          <w:sz w:val="32"/>
          <w:szCs w:val="32"/>
        </w:rPr>
        <w:t>支出24.29万元，比年初预算的60万元下降60</w:t>
      </w:r>
      <w:r>
        <w:rPr>
          <w:rFonts w:ascii="仿宋" w:hAnsi="仿宋" w:eastAsia="仿宋" w:cs="仿宋_GB2312"/>
          <w:color w:val="auto"/>
          <w:sz w:val="32"/>
          <w:szCs w:val="32"/>
        </w:rPr>
        <w:t>%，</w:t>
      </w:r>
      <w:r>
        <w:rPr>
          <w:rFonts w:hint="eastAsia" w:ascii="仿宋" w:hAnsi="仿宋" w:eastAsia="仿宋" w:cs="仿宋_GB2312"/>
          <w:color w:val="auto"/>
          <w:sz w:val="32"/>
          <w:szCs w:val="32"/>
        </w:rPr>
        <w:t>2019</w:t>
      </w:r>
      <w:r>
        <w:rPr>
          <w:rFonts w:ascii="仿宋" w:hAnsi="仿宋" w:eastAsia="仿宋" w:cs="仿宋_GB2312"/>
          <w:color w:val="auto"/>
          <w:sz w:val="32"/>
          <w:szCs w:val="32"/>
        </w:rPr>
        <w:t>年公务用车购置</w:t>
      </w:r>
      <w:r>
        <w:rPr>
          <w:rFonts w:hint="eastAsia" w:ascii="仿宋" w:hAnsi="仿宋" w:eastAsia="仿宋" w:cs="仿宋_GB2312"/>
          <w:color w:val="auto"/>
          <w:sz w:val="32"/>
          <w:szCs w:val="32"/>
        </w:rPr>
        <w:t>1辆，</w:t>
      </w:r>
      <w:r>
        <w:rPr>
          <w:rFonts w:ascii="仿宋" w:hAnsi="仿宋" w:eastAsia="仿宋" w:cs="仿宋_GB2312"/>
          <w:color w:val="auto"/>
          <w:sz w:val="32"/>
          <w:szCs w:val="32"/>
        </w:rPr>
        <w:t>主要是:</w:t>
      </w:r>
      <w:r>
        <w:rPr>
          <w:rFonts w:hint="eastAsia" w:ascii="仿宋" w:hAnsi="仿宋" w:eastAsia="仿宋" w:cs="仿宋_GB2312"/>
          <w:color w:val="auto"/>
          <w:sz w:val="32"/>
          <w:szCs w:val="32"/>
        </w:rPr>
        <w:t>由于资金较为紧张，暂时先购置一辆执法用车</w:t>
      </w:r>
      <w:r>
        <w:rPr>
          <w:rFonts w:ascii="仿宋" w:hAnsi="仿宋" w:eastAsia="仿宋" w:cs="仿宋_GB2312"/>
          <w:color w:val="auto"/>
          <w:sz w:val="32"/>
          <w:szCs w:val="32"/>
        </w:rPr>
        <w:t>。</w:t>
      </w:r>
    </w:p>
    <w:p>
      <w:pPr>
        <w:tabs>
          <w:tab w:val="left" w:pos="7513"/>
        </w:tabs>
        <w:adjustRightInd w:val="0"/>
        <w:snapToGrid w:val="0"/>
        <w:spacing w:line="600" w:lineRule="exact"/>
        <w:ind w:firstLine="645"/>
        <w:jc w:val="left"/>
        <w:rPr>
          <w:rFonts w:ascii="仿宋" w:hAnsi="仿宋" w:eastAsia="仿宋" w:cs="仿宋_GB2312"/>
          <w:color w:val="auto"/>
          <w:sz w:val="32"/>
          <w:szCs w:val="32"/>
        </w:rPr>
      </w:pPr>
      <w:r>
        <w:rPr>
          <w:rFonts w:hint="eastAsia" w:ascii="仿宋" w:hAnsi="仿宋" w:eastAsia="仿宋" w:cs="仿宋_GB2312"/>
          <w:color w:val="auto"/>
          <w:sz w:val="32"/>
          <w:szCs w:val="32"/>
        </w:rPr>
        <w:t>公务用车运行费支出14.44万元，比年初预算的20万元下降28</w:t>
      </w:r>
      <w:r>
        <w:rPr>
          <w:rFonts w:ascii="仿宋" w:hAnsi="仿宋" w:eastAsia="仿宋" w:cs="仿宋_GB2312"/>
          <w:color w:val="auto"/>
          <w:sz w:val="32"/>
          <w:szCs w:val="32"/>
        </w:rPr>
        <w:t>%</w:t>
      </w:r>
      <w:r>
        <w:rPr>
          <w:rFonts w:hint="eastAsia" w:ascii="仿宋" w:hAnsi="仿宋" w:eastAsia="仿宋" w:cs="仿宋_GB2312"/>
          <w:color w:val="auto"/>
          <w:sz w:val="32"/>
          <w:szCs w:val="32"/>
        </w:rPr>
        <w:t>，主要是严格控制预算，加强车辆管理，降低运行成本。截至</w:t>
      </w:r>
      <w:r>
        <w:rPr>
          <w:rFonts w:ascii="仿宋" w:hAnsi="仿宋" w:eastAsia="仿宋" w:cs="仿宋_GB2312"/>
          <w:color w:val="auto"/>
          <w:sz w:val="32"/>
          <w:szCs w:val="32"/>
        </w:rPr>
        <w:t>2019</w:t>
      </w:r>
      <w:r>
        <w:rPr>
          <w:rFonts w:hint="eastAsia" w:ascii="仿宋" w:hAnsi="仿宋" w:eastAsia="仿宋" w:cs="仿宋_GB2312"/>
          <w:color w:val="auto"/>
          <w:sz w:val="32"/>
          <w:szCs w:val="32"/>
        </w:rPr>
        <w:t>年</w:t>
      </w:r>
      <w:r>
        <w:rPr>
          <w:rFonts w:ascii="仿宋" w:hAnsi="仿宋" w:eastAsia="仿宋" w:cs="仿宋_GB2312"/>
          <w:color w:val="auto"/>
          <w:sz w:val="32"/>
          <w:szCs w:val="32"/>
        </w:rPr>
        <w:t>12</w:t>
      </w:r>
      <w:r>
        <w:rPr>
          <w:rFonts w:hint="eastAsia" w:ascii="仿宋" w:hAnsi="仿宋" w:eastAsia="仿宋" w:cs="仿宋_GB2312"/>
          <w:color w:val="auto"/>
          <w:sz w:val="32"/>
          <w:szCs w:val="32"/>
        </w:rPr>
        <w:t>月</w:t>
      </w:r>
      <w:r>
        <w:rPr>
          <w:rFonts w:ascii="仿宋" w:hAnsi="仿宋" w:eastAsia="仿宋" w:cs="仿宋_GB2312"/>
          <w:color w:val="auto"/>
          <w:sz w:val="32"/>
          <w:szCs w:val="32"/>
        </w:rPr>
        <w:t>31</w:t>
      </w:r>
      <w:r>
        <w:rPr>
          <w:rFonts w:hint="eastAsia" w:ascii="仿宋" w:hAnsi="仿宋" w:eastAsia="仿宋" w:cs="仿宋_GB2312"/>
          <w:color w:val="auto"/>
          <w:sz w:val="32"/>
          <w:szCs w:val="32"/>
        </w:rPr>
        <w:t>日，我委公务用车保有量为5辆</w:t>
      </w:r>
      <w:r>
        <w:rPr>
          <w:rFonts w:ascii="仿宋" w:hAnsi="仿宋" w:eastAsia="仿宋" w:cs="仿宋_GB2312"/>
          <w:color w:val="auto"/>
          <w:sz w:val="32"/>
          <w:szCs w:val="32"/>
        </w:rPr>
        <w:t>。</w:t>
      </w:r>
    </w:p>
    <w:p>
      <w:pPr>
        <w:tabs>
          <w:tab w:val="left" w:pos="7513"/>
        </w:tabs>
        <w:adjustRightInd w:val="0"/>
        <w:snapToGrid w:val="0"/>
        <w:spacing w:line="600" w:lineRule="exact"/>
        <w:jc w:val="left"/>
        <w:rPr>
          <w:rFonts w:ascii="仿宋" w:hAnsi="仿宋" w:eastAsia="仿宋" w:cs="仿宋_GB2312"/>
          <w:color w:val="auto"/>
          <w:sz w:val="32"/>
          <w:szCs w:val="32"/>
        </w:rPr>
      </w:pPr>
      <w:r>
        <w:rPr>
          <w:rFonts w:hint="eastAsia" w:ascii="仿宋" w:hAnsi="仿宋" w:eastAsia="仿宋" w:cs="仿宋_GB2312"/>
          <w:color w:val="auto"/>
          <w:sz w:val="32"/>
          <w:szCs w:val="32"/>
        </w:rPr>
        <w:t>　　（三）公务接待费支出3.95万元，比年初预算的4.2万元下降了6</w:t>
      </w:r>
      <w:r>
        <w:rPr>
          <w:rFonts w:ascii="仿宋" w:hAnsi="仿宋" w:eastAsia="仿宋" w:cs="仿宋_GB2312"/>
          <w:color w:val="auto"/>
          <w:sz w:val="32"/>
          <w:szCs w:val="32"/>
        </w:rPr>
        <w:t>%</w:t>
      </w:r>
      <w:r>
        <w:rPr>
          <w:rFonts w:hint="eastAsia" w:ascii="仿宋" w:hAnsi="仿宋" w:eastAsia="仿宋" w:cs="仿宋_GB2312"/>
          <w:color w:val="auto"/>
          <w:sz w:val="32"/>
          <w:szCs w:val="32"/>
        </w:rPr>
        <w:t>。主要是严格控制预算，减少陪同，简化接待。累计接待82批次、328人次。</w:t>
      </w:r>
    </w:p>
    <w:p>
      <w:pPr>
        <w:tabs>
          <w:tab w:val="left" w:pos="7513"/>
        </w:tabs>
        <w:adjustRightInd w:val="0"/>
        <w:snapToGrid w:val="0"/>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六、预算绩效情况说明</w:t>
      </w:r>
    </w:p>
    <w:p>
      <w:pPr>
        <w:ind w:firstLine="643" w:firstLineChars="200"/>
        <w:rPr>
          <w:rFonts w:ascii="楷体" w:hAnsi="楷体" w:eastAsia="楷体"/>
          <w:b/>
          <w:color w:val="auto"/>
          <w:sz w:val="32"/>
          <w:szCs w:val="32"/>
        </w:rPr>
      </w:pPr>
      <w:r>
        <w:rPr>
          <w:rFonts w:hint="eastAsia" w:ascii="楷体" w:hAnsi="楷体" w:eastAsia="楷体"/>
          <w:b/>
          <w:color w:val="auto"/>
          <w:sz w:val="32"/>
          <w:szCs w:val="32"/>
        </w:rPr>
        <w:t>（一）绩效管理工作开展情况</w:t>
      </w:r>
    </w:p>
    <w:p>
      <w:pPr>
        <w:ind w:firstLine="640" w:firstLineChars="200"/>
        <w:rPr>
          <w:rFonts w:ascii="仿宋" w:hAnsi="仿宋" w:eastAsia="仿宋"/>
          <w:color w:val="auto"/>
          <w:sz w:val="32"/>
          <w:szCs w:val="32"/>
        </w:rPr>
      </w:pPr>
      <w:r>
        <w:rPr>
          <w:rFonts w:hint="eastAsia" w:ascii="仿宋" w:hAnsi="仿宋" w:eastAsia="仿宋"/>
          <w:color w:val="auto"/>
          <w:sz w:val="32"/>
          <w:szCs w:val="32"/>
        </w:rPr>
        <w:t>根据预算绩效管理要求，共对2019年0个清单项目实施绩效监控</w:t>
      </w:r>
      <w:r>
        <w:rPr>
          <w:rFonts w:hint="eastAsia" w:ascii="仿宋" w:hAnsi="仿宋" w:eastAsia="仿宋"/>
          <w:color w:val="auto"/>
          <w:sz w:val="32"/>
          <w:szCs w:val="32"/>
          <w:lang w:eastAsia="zh-CN"/>
        </w:rPr>
        <w:t>，</w:t>
      </w:r>
      <w:r>
        <w:rPr>
          <w:rFonts w:hint="eastAsia" w:ascii="仿宋" w:hAnsi="仿宋" w:eastAsia="仿宋"/>
          <w:color w:val="auto"/>
          <w:sz w:val="32"/>
          <w:szCs w:val="32"/>
        </w:rPr>
        <w:t>涉及财政拨款资金</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万元。同时，对</w:t>
      </w:r>
      <w:r>
        <w:rPr>
          <w:rFonts w:hint="eastAsia" w:ascii="仿宋" w:hAnsi="仿宋" w:eastAsia="仿宋"/>
          <w:color w:val="auto"/>
          <w:sz w:val="32"/>
          <w:szCs w:val="32"/>
          <w:lang w:val="en-US" w:eastAsia="zh-CN"/>
        </w:rPr>
        <w:t>2019</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万元业务费实施绩效监控。</w:t>
      </w:r>
    </w:p>
    <w:p>
      <w:pPr>
        <w:ind w:firstLine="643" w:firstLineChars="200"/>
        <w:rPr>
          <w:rFonts w:ascii="仿宋" w:hAnsi="仿宋" w:eastAsia="仿宋"/>
          <w:b/>
          <w:color w:val="auto"/>
          <w:sz w:val="32"/>
          <w:szCs w:val="32"/>
        </w:rPr>
      </w:pPr>
      <w:r>
        <w:rPr>
          <w:rFonts w:hint="eastAsia" w:ascii="仿宋" w:hAnsi="仿宋" w:eastAsia="仿宋"/>
          <w:b/>
          <w:color w:val="auto"/>
          <w:sz w:val="32"/>
          <w:szCs w:val="32"/>
        </w:rPr>
        <w:t>（二）绩效自评工作开展情况</w:t>
      </w:r>
    </w:p>
    <w:p>
      <w:pPr>
        <w:ind w:firstLine="640" w:firstLineChars="200"/>
        <w:jc w:val="left"/>
        <w:rPr>
          <w:rFonts w:ascii="仿宋" w:hAnsi="仿宋" w:eastAsia="仿宋"/>
          <w:color w:val="auto"/>
          <w:sz w:val="32"/>
          <w:szCs w:val="32"/>
        </w:rPr>
      </w:pPr>
      <w:r>
        <w:rPr>
          <w:rFonts w:hint="eastAsia" w:ascii="仿宋" w:hAnsi="仿宋" w:eastAsia="仿宋"/>
          <w:color w:val="auto"/>
          <w:sz w:val="32"/>
          <w:szCs w:val="32"/>
        </w:rPr>
        <w:t>共对2019年度</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个部门业务费开展绩效自评，涉及财政拨款资金共计</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万元。根据年初设定的绩效目标，本年度绩效自评主要采取“对标评价”的方式展开，自评结果等次为“优”“良”“中”“差”的项目各是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共对</w:t>
      </w:r>
      <w:r>
        <w:rPr>
          <w:rFonts w:hint="eastAsia" w:ascii="仿宋" w:hAnsi="仿宋" w:eastAsia="仿宋"/>
          <w:color w:val="auto"/>
          <w:sz w:val="32"/>
          <w:szCs w:val="32"/>
          <w:lang w:val="en-US" w:eastAsia="zh-CN"/>
        </w:rPr>
        <w:t>2019</w:t>
      </w:r>
      <w:r>
        <w:rPr>
          <w:rFonts w:hint="eastAsia" w:ascii="仿宋" w:hAnsi="仿宋" w:eastAsia="仿宋"/>
          <w:color w:val="auto"/>
          <w:sz w:val="32"/>
          <w:szCs w:val="32"/>
        </w:rPr>
        <w:t>年度</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个部门共计</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个清单项目实施绩效自评，涉及财政拨款资金共计</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万元。评价结果为“优”的项目是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个，“良”的项目是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个，“中”的项目是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个，“差”的项目是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w:t>
      </w:r>
    </w:p>
    <w:p>
      <w:pPr>
        <w:ind w:firstLine="643" w:firstLineChars="200"/>
        <w:rPr>
          <w:rFonts w:ascii="仿宋" w:hAnsi="仿宋" w:eastAsia="仿宋"/>
          <w:b/>
          <w:color w:val="auto"/>
          <w:sz w:val="32"/>
          <w:szCs w:val="32"/>
        </w:rPr>
      </w:pPr>
      <w:r>
        <w:rPr>
          <w:rFonts w:hint="eastAsia" w:ascii="仿宋" w:hAnsi="仿宋" w:eastAsia="仿宋"/>
          <w:b/>
          <w:color w:val="auto"/>
          <w:sz w:val="32"/>
          <w:szCs w:val="32"/>
        </w:rPr>
        <w:t>（三）重点评价工作开展情况</w:t>
      </w:r>
    </w:p>
    <w:p>
      <w:pPr>
        <w:ind w:firstLine="640" w:firstLineChars="200"/>
        <w:jc w:val="left"/>
        <w:rPr>
          <w:rFonts w:ascii="仿宋" w:hAnsi="仿宋" w:eastAsia="仿宋"/>
          <w:color w:val="auto"/>
          <w:sz w:val="32"/>
          <w:szCs w:val="32"/>
        </w:rPr>
      </w:pPr>
      <w:r>
        <w:rPr>
          <w:rFonts w:hint="eastAsia" w:ascii="仿宋" w:hAnsi="仿宋" w:eastAsia="仿宋"/>
          <w:color w:val="auto"/>
          <w:sz w:val="32"/>
          <w:szCs w:val="32"/>
        </w:rPr>
        <w:t>本单位对2019年度共计0个清单项目实施财政重点评价。涉及财政拨款资金共计</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万元，涉及</w:t>
      </w:r>
      <w:r>
        <w:rPr>
          <w:rFonts w:hint="eastAsia" w:ascii="仿宋" w:hAnsi="仿宋" w:eastAsia="仿宋"/>
          <w:color w:val="auto"/>
          <w:sz w:val="32"/>
          <w:szCs w:val="32"/>
          <w:lang w:val="en-US" w:eastAsia="zh-CN"/>
        </w:rPr>
        <w:t>0个</w:t>
      </w:r>
      <w:r>
        <w:rPr>
          <w:rFonts w:hint="eastAsia" w:ascii="仿宋" w:hAnsi="仿宋" w:eastAsia="仿宋"/>
          <w:color w:val="auto"/>
          <w:sz w:val="32"/>
          <w:szCs w:val="32"/>
        </w:rPr>
        <w:t>领域。评价结果为“优”的项目是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个，“良”的项目是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个，“中”的项目是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个，“差”的项目是</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个。</w:t>
      </w:r>
    </w:p>
    <w:p>
      <w:pPr>
        <w:tabs>
          <w:tab w:val="left" w:pos="7513"/>
        </w:tabs>
        <w:adjustRightInd w:val="0"/>
        <w:snapToGrid w:val="0"/>
        <w:spacing w:line="600" w:lineRule="exact"/>
        <w:ind w:firstLine="640" w:firstLineChars="200"/>
        <w:rPr>
          <w:rFonts w:ascii="黑体" w:hAnsi="黑体" w:eastAsia="黑体"/>
          <w:color w:val="auto"/>
          <w:sz w:val="32"/>
          <w:szCs w:val="32"/>
        </w:rPr>
      </w:pPr>
      <w:r>
        <w:rPr>
          <w:rFonts w:hint="eastAsia" w:ascii="黑体" w:hAnsi="黑体" w:eastAsia="黑体"/>
          <w:color w:val="auto"/>
          <w:sz w:val="32"/>
          <w:szCs w:val="32"/>
        </w:rPr>
        <w:t>七、其他重要事项说明</w:t>
      </w:r>
    </w:p>
    <w:p>
      <w:pPr>
        <w:tabs>
          <w:tab w:val="left" w:pos="7513"/>
        </w:tabs>
        <w:adjustRightInd w:val="0"/>
        <w:snapToGrid w:val="0"/>
        <w:spacing w:line="600" w:lineRule="exact"/>
        <w:ind w:firstLine="643" w:firstLineChars="200"/>
        <w:rPr>
          <w:rFonts w:ascii="黑体" w:hAnsi="黑体" w:eastAsia="黑体" w:cs="仿宋_GB2312"/>
          <w:bCs/>
          <w:color w:val="auto"/>
          <w:sz w:val="32"/>
          <w:szCs w:val="32"/>
        </w:rPr>
      </w:pPr>
      <w:r>
        <w:rPr>
          <w:rFonts w:hint="eastAsia" w:ascii="楷体" w:hAnsi="楷体" w:eastAsia="楷体"/>
          <w:b/>
          <w:color w:val="auto"/>
          <w:sz w:val="32"/>
          <w:szCs w:val="32"/>
        </w:rPr>
        <w:t>（一）机关运行经费</w:t>
      </w:r>
    </w:p>
    <w:p>
      <w:pPr>
        <w:tabs>
          <w:tab w:val="left" w:pos="7513"/>
        </w:tabs>
        <w:adjustRightInd w:val="0"/>
        <w:snapToGrid w:val="0"/>
        <w:spacing w:line="60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sz w:val="32"/>
          <w:szCs w:val="32"/>
        </w:rPr>
        <w:t>2019年度</w:t>
      </w:r>
      <w:r>
        <w:rPr>
          <w:rFonts w:ascii="仿宋" w:hAnsi="仿宋" w:eastAsia="仿宋" w:cs="仿宋_GB2312"/>
          <w:color w:val="auto"/>
          <w:sz w:val="32"/>
          <w:szCs w:val="32"/>
        </w:rPr>
        <w:t>机关运行经费支出</w:t>
      </w:r>
      <w:r>
        <w:rPr>
          <w:rFonts w:hint="eastAsia" w:ascii="仿宋" w:hAnsi="仿宋" w:eastAsia="仿宋" w:cs="仿宋_GB2312"/>
          <w:color w:val="auto"/>
          <w:sz w:val="32"/>
          <w:szCs w:val="32"/>
        </w:rPr>
        <w:t>166.22</w:t>
      </w:r>
      <w:r>
        <w:rPr>
          <w:rFonts w:ascii="仿宋" w:hAnsi="仿宋" w:eastAsia="仿宋" w:cs="仿宋_GB2312"/>
          <w:color w:val="auto"/>
          <w:sz w:val="32"/>
          <w:szCs w:val="32"/>
        </w:rPr>
        <w:t>万元，比</w:t>
      </w:r>
      <w:r>
        <w:rPr>
          <w:rFonts w:hint="eastAsia" w:ascii="仿宋" w:hAnsi="仿宋" w:eastAsia="仿宋"/>
          <w:color w:val="auto"/>
          <w:sz w:val="32"/>
          <w:szCs w:val="32"/>
        </w:rPr>
        <w:t>上年</w:t>
      </w:r>
      <w:r>
        <w:rPr>
          <w:rFonts w:ascii="仿宋" w:hAnsi="仿宋" w:eastAsia="仿宋" w:cs="仿宋_GB2312"/>
          <w:color w:val="auto"/>
          <w:sz w:val="32"/>
          <w:szCs w:val="32"/>
        </w:rPr>
        <w:t>决算数增长</w:t>
      </w:r>
      <w:r>
        <w:rPr>
          <w:rFonts w:hint="eastAsia" w:ascii="仿宋" w:hAnsi="仿宋" w:eastAsia="仿宋" w:cs="仿宋_GB2312"/>
          <w:color w:val="auto"/>
          <w:sz w:val="32"/>
          <w:szCs w:val="32"/>
        </w:rPr>
        <w:t>28</w:t>
      </w:r>
      <w:r>
        <w:rPr>
          <w:rFonts w:ascii="仿宋" w:hAnsi="仿宋" w:eastAsia="仿宋" w:cs="仿宋_GB2312"/>
          <w:color w:val="auto"/>
          <w:sz w:val="32"/>
          <w:szCs w:val="32"/>
        </w:rPr>
        <w:t>%，主要是:</w:t>
      </w:r>
      <w:r>
        <w:rPr>
          <w:rFonts w:hint="eastAsia"/>
          <w:color w:val="auto"/>
        </w:rPr>
        <w:t xml:space="preserve"> </w:t>
      </w:r>
      <w:r>
        <w:rPr>
          <w:rFonts w:hint="eastAsia" w:ascii="仿宋" w:hAnsi="仿宋" w:eastAsia="仿宋" w:cs="仿宋_GB2312"/>
          <w:color w:val="auto"/>
          <w:sz w:val="32"/>
          <w:szCs w:val="32"/>
        </w:rPr>
        <w:t>工作力度加大，案件审查调查费用支出增加</w:t>
      </w:r>
      <w:r>
        <w:rPr>
          <w:rFonts w:ascii="仿宋" w:hAnsi="仿宋" w:eastAsia="仿宋" w:cs="仿宋_GB2312"/>
          <w:color w:val="auto"/>
          <w:sz w:val="32"/>
          <w:szCs w:val="32"/>
        </w:rPr>
        <w:t>。</w:t>
      </w:r>
    </w:p>
    <w:p>
      <w:pPr>
        <w:autoSpaceDE w:val="0"/>
        <w:autoSpaceDN w:val="0"/>
        <w:adjustRightInd w:val="0"/>
        <w:spacing w:line="600" w:lineRule="exact"/>
        <w:ind w:firstLine="643" w:firstLineChars="200"/>
        <w:jc w:val="left"/>
        <w:rPr>
          <w:rFonts w:ascii="黑体" w:hAnsi="黑体" w:eastAsia="黑体" w:cs="仿宋_GB2312"/>
          <w:color w:val="auto"/>
          <w:kern w:val="0"/>
          <w:sz w:val="32"/>
          <w:szCs w:val="32"/>
        </w:rPr>
      </w:pPr>
      <w:r>
        <w:rPr>
          <w:rFonts w:hint="eastAsia" w:ascii="楷体" w:hAnsi="楷体" w:eastAsia="楷体"/>
          <w:b/>
          <w:color w:val="auto"/>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color w:val="auto"/>
          <w:sz w:val="32"/>
          <w:szCs w:val="32"/>
        </w:rPr>
      </w:pPr>
      <w:r>
        <w:rPr>
          <w:rFonts w:hint="eastAsia" w:ascii="仿宋" w:hAnsi="仿宋" w:eastAsia="仿宋" w:cs="仿宋_GB2312"/>
          <w:color w:val="auto"/>
          <w:kern w:val="0"/>
          <w:sz w:val="32"/>
          <w:szCs w:val="32"/>
        </w:rPr>
        <w:t>本部门</w:t>
      </w:r>
      <w:r>
        <w:rPr>
          <w:rFonts w:hint="eastAsia" w:ascii="仿宋" w:hAnsi="仿宋" w:eastAsia="仿宋" w:cs="仿宋_GB2312"/>
          <w:color w:val="auto"/>
          <w:sz w:val="32"/>
          <w:szCs w:val="32"/>
        </w:rPr>
        <w:t>2019年度</w:t>
      </w:r>
      <w:r>
        <w:rPr>
          <w:rFonts w:ascii="仿宋" w:hAnsi="仿宋" w:eastAsia="仿宋" w:cs="仿宋_GB2312"/>
          <w:color w:val="auto"/>
          <w:kern w:val="0"/>
          <w:sz w:val="32"/>
          <w:szCs w:val="32"/>
        </w:rPr>
        <w:t>政府采购支出总额</w:t>
      </w:r>
      <w:r>
        <w:rPr>
          <w:rFonts w:hint="eastAsia" w:ascii="仿宋" w:hAnsi="仿宋" w:eastAsia="仿宋" w:cs="仿宋_GB2312"/>
          <w:color w:val="auto"/>
          <w:sz w:val="32"/>
          <w:szCs w:val="32"/>
        </w:rPr>
        <w:t>35.58</w:t>
      </w:r>
      <w:r>
        <w:rPr>
          <w:rFonts w:hint="eastAsia" w:ascii="仿宋" w:hAnsi="仿宋" w:eastAsia="仿宋" w:cs="仿宋_GB2312"/>
          <w:color w:val="auto"/>
          <w:kern w:val="0"/>
          <w:sz w:val="32"/>
          <w:szCs w:val="32"/>
        </w:rPr>
        <w:t>万元，其中：政府采购货物支出</w:t>
      </w:r>
      <w:r>
        <w:rPr>
          <w:rFonts w:hint="eastAsia" w:ascii="仿宋" w:hAnsi="仿宋" w:eastAsia="仿宋" w:cs="仿宋_GB2312"/>
          <w:color w:val="auto"/>
          <w:sz w:val="32"/>
          <w:szCs w:val="32"/>
        </w:rPr>
        <w:t>35.58</w:t>
      </w:r>
      <w:r>
        <w:rPr>
          <w:rFonts w:hint="eastAsia" w:ascii="仿宋" w:hAnsi="仿宋" w:eastAsia="仿宋" w:cs="仿宋_GB2312"/>
          <w:color w:val="auto"/>
          <w:kern w:val="0"/>
          <w:sz w:val="32"/>
          <w:szCs w:val="32"/>
        </w:rPr>
        <w:t>万元、政府采购工程支出</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万元、政府采购服务支出</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万元。</w:t>
      </w:r>
      <w:r>
        <w:rPr>
          <w:rFonts w:hint="eastAsia" w:ascii="仿宋" w:hAnsi="仿宋" w:eastAsia="仿宋" w:cs="仿宋_GB2312"/>
          <w:color w:val="auto"/>
          <w:sz w:val="32"/>
          <w:szCs w:val="32"/>
        </w:rPr>
        <w:t>授予中小企业合同金28.11万元，占政府采购支出总额的79</w:t>
      </w:r>
      <w:r>
        <w:rPr>
          <w:rFonts w:ascii="仿宋" w:hAnsi="仿宋" w:eastAsia="仿宋" w:cs="仿宋_GB2312"/>
          <w:color w:val="auto"/>
          <w:sz w:val="32"/>
          <w:szCs w:val="32"/>
        </w:rPr>
        <w:t>%</w:t>
      </w:r>
      <w:r>
        <w:rPr>
          <w:rFonts w:hint="eastAsia" w:ascii="仿宋" w:hAnsi="仿宋" w:eastAsia="仿宋" w:cs="仿宋_GB2312"/>
          <w:color w:val="auto"/>
          <w:sz w:val="32"/>
          <w:szCs w:val="32"/>
        </w:rPr>
        <w:t>，其中：授予小微企业合同金额28.11万元，占政府采购支出总额的79</w:t>
      </w:r>
      <w:r>
        <w:rPr>
          <w:rFonts w:ascii="仿宋" w:hAnsi="仿宋" w:eastAsia="仿宋" w:cs="仿宋_GB2312"/>
          <w:color w:val="auto"/>
          <w:sz w:val="32"/>
          <w:szCs w:val="32"/>
        </w:rPr>
        <w:t>%</w:t>
      </w:r>
      <w:r>
        <w:rPr>
          <w:rFonts w:hint="eastAsia" w:ascii="仿宋" w:hAnsi="仿宋" w:eastAsia="仿宋" w:cs="仿宋_GB2312"/>
          <w:color w:val="auto"/>
          <w:sz w:val="32"/>
          <w:szCs w:val="32"/>
        </w:rPr>
        <w:t>。</w:t>
      </w:r>
    </w:p>
    <w:p>
      <w:pPr>
        <w:tabs>
          <w:tab w:val="left" w:pos="7513"/>
        </w:tabs>
        <w:adjustRightInd w:val="0"/>
        <w:snapToGrid w:val="0"/>
        <w:spacing w:line="600" w:lineRule="exact"/>
        <w:ind w:firstLine="707" w:firstLineChars="220"/>
        <w:rPr>
          <w:rFonts w:ascii="黑体" w:hAnsi="黑体" w:eastAsia="黑体" w:cs="Times New Roman"/>
          <w:color w:val="auto"/>
          <w:sz w:val="32"/>
          <w:szCs w:val="32"/>
        </w:rPr>
      </w:pPr>
      <w:r>
        <w:rPr>
          <w:rFonts w:hint="eastAsia" w:ascii="楷体" w:hAnsi="楷体" w:eastAsia="楷体"/>
          <w:b/>
          <w:color w:val="auto"/>
          <w:sz w:val="32"/>
          <w:szCs w:val="32"/>
        </w:rPr>
        <w:t>（三）国有资产占用使用情况</w:t>
      </w:r>
    </w:p>
    <w:p>
      <w:pPr>
        <w:tabs>
          <w:tab w:val="left" w:pos="7513"/>
        </w:tabs>
        <w:adjustRightInd w:val="0"/>
        <w:snapToGrid w:val="0"/>
        <w:spacing w:line="600" w:lineRule="exact"/>
        <w:ind w:firstLine="704" w:firstLineChars="220"/>
        <w:jc w:val="left"/>
        <w:rPr>
          <w:rFonts w:ascii="仿宋" w:hAnsi="仿宋" w:eastAsia="仿宋" w:cs="仿宋_GB2312"/>
          <w:color w:val="auto"/>
          <w:kern w:val="0"/>
          <w:sz w:val="32"/>
          <w:szCs w:val="32"/>
        </w:rPr>
      </w:pPr>
      <w:r>
        <w:rPr>
          <w:rFonts w:hint="eastAsia" w:ascii="仿宋" w:hAnsi="仿宋" w:eastAsia="仿宋" w:cs="仿宋_GB2312"/>
          <w:color w:val="auto"/>
          <w:kern w:val="0"/>
          <w:sz w:val="32"/>
          <w:szCs w:val="32"/>
        </w:rPr>
        <w:t>截至</w:t>
      </w:r>
      <w:r>
        <w:rPr>
          <w:rFonts w:hint="eastAsia" w:ascii="仿宋" w:hAnsi="仿宋" w:eastAsia="仿宋"/>
          <w:color w:val="auto"/>
          <w:sz w:val="32"/>
          <w:szCs w:val="32"/>
        </w:rPr>
        <w:t>2019</w:t>
      </w:r>
      <w:r>
        <w:rPr>
          <w:rFonts w:hint="eastAsia" w:ascii="仿宋" w:hAnsi="仿宋" w:eastAsia="仿宋" w:cs="仿宋_GB2312"/>
          <w:color w:val="auto"/>
          <w:kern w:val="0"/>
          <w:sz w:val="32"/>
          <w:szCs w:val="32"/>
        </w:rPr>
        <w:t>年</w:t>
      </w:r>
      <w:r>
        <w:rPr>
          <w:rFonts w:ascii="仿宋" w:hAnsi="仿宋" w:eastAsia="仿宋" w:cs="仿宋_GB2312"/>
          <w:color w:val="auto"/>
          <w:kern w:val="0"/>
          <w:sz w:val="32"/>
          <w:szCs w:val="32"/>
        </w:rPr>
        <w:t>12月31日，本部门共有车辆</w:t>
      </w:r>
      <w:r>
        <w:rPr>
          <w:rFonts w:hint="eastAsia" w:ascii="仿宋" w:hAnsi="仿宋" w:eastAsia="仿宋" w:cs="仿宋_GB2312"/>
          <w:color w:val="auto"/>
          <w:sz w:val="32"/>
          <w:szCs w:val="32"/>
        </w:rPr>
        <w:t>5</w:t>
      </w:r>
      <w:r>
        <w:rPr>
          <w:rFonts w:hint="eastAsia" w:ascii="仿宋" w:hAnsi="仿宋" w:eastAsia="仿宋" w:cs="仿宋_GB2312"/>
          <w:color w:val="auto"/>
          <w:kern w:val="0"/>
          <w:sz w:val="32"/>
          <w:szCs w:val="32"/>
        </w:rPr>
        <w:t>辆，其中：副部（省）级以上领导用车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辆、主要领导干部用车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辆、机要通信用车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辆、应急保障用车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辆、执法执勤用车</w:t>
      </w:r>
      <w:r>
        <w:rPr>
          <w:rFonts w:hint="eastAsia" w:ascii="仿宋" w:hAnsi="仿宋" w:eastAsia="仿宋" w:cs="仿宋_GB2312"/>
          <w:color w:val="auto"/>
          <w:sz w:val="32"/>
          <w:szCs w:val="32"/>
        </w:rPr>
        <w:t>5</w:t>
      </w:r>
      <w:r>
        <w:rPr>
          <w:rFonts w:hint="eastAsia" w:ascii="仿宋" w:hAnsi="仿宋" w:eastAsia="仿宋" w:cs="仿宋_GB2312"/>
          <w:color w:val="auto"/>
          <w:kern w:val="0"/>
          <w:sz w:val="32"/>
          <w:szCs w:val="32"/>
        </w:rPr>
        <w:t>辆、特种专业技术用车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辆、离退休干部用车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辆、其他用车</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辆；单价</w:t>
      </w:r>
      <w:r>
        <w:rPr>
          <w:rFonts w:ascii="仿宋" w:hAnsi="仿宋" w:eastAsia="仿宋" w:cs="仿宋_GB2312"/>
          <w:color w:val="auto"/>
          <w:kern w:val="0"/>
          <w:sz w:val="32"/>
          <w:szCs w:val="32"/>
        </w:rPr>
        <w:t>50万元（含）以上通用设备</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台（套），单价</w:t>
      </w:r>
      <w:r>
        <w:rPr>
          <w:rFonts w:ascii="仿宋" w:hAnsi="仿宋" w:eastAsia="仿宋" w:cs="仿宋_GB2312"/>
          <w:color w:val="auto"/>
          <w:kern w:val="0"/>
          <w:sz w:val="32"/>
          <w:szCs w:val="32"/>
        </w:rPr>
        <w:t>100万元（含）以上专用设备</w:t>
      </w:r>
      <w:r>
        <w:rPr>
          <w:rFonts w:hint="eastAsia" w:ascii="仿宋" w:hAnsi="仿宋" w:eastAsia="仿宋" w:cs="仿宋_GB2312"/>
          <w:color w:val="auto"/>
          <w:sz w:val="32"/>
          <w:szCs w:val="32"/>
        </w:rPr>
        <w:t>0</w:t>
      </w:r>
      <w:r>
        <w:rPr>
          <w:rFonts w:hint="eastAsia" w:ascii="仿宋" w:hAnsi="仿宋" w:eastAsia="仿宋" w:cs="仿宋_GB2312"/>
          <w:color w:val="auto"/>
          <w:kern w:val="0"/>
          <w:sz w:val="32"/>
          <w:szCs w:val="32"/>
        </w:rPr>
        <w:t>台（套）。</w:t>
      </w:r>
    </w:p>
    <w:p>
      <w:pPr>
        <w:autoSpaceDE w:val="0"/>
        <w:autoSpaceDN w:val="0"/>
        <w:adjustRightInd w:val="0"/>
        <w:spacing w:line="600" w:lineRule="exact"/>
        <w:ind w:firstLine="640" w:firstLineChars="200"/>
        <w:jc w:val="left"/>
        <w:rPr>
          <w:rFonts w:ascii="仿宋" w:hAnsi="仿宋" w:eastAsia="仿宋" w:cs="仿宋_GB2312"/>
          <w:color w:val="auto"/>
          <w:sz w:val="32"/>
          <w:szCs w:val="32"/>
        </w:rPr>
      </w:pPr>
    </w:p>
    <w:p>
      <w:pPr>
        <w:rPr>
          <w:rFonts w:ascii="黑体" w:hAnsi="黑体" w:eastAsia="黑体"/>
          <w:color w:val="auto"/>
          <w:sz w:val="36"/>
          <w:szCs w:val="36"/>
        </w:rPr>
      </w:pPr>
      <w:r>
        <w:rPr>
          <w:rFonts w:hint="eastAsia" w:ascii="黑体" w:hAnsi="黑体" w:eastAsia="黑体"/>
          <w:color w:val="auto"/>
          <w:sz w:val="36"/>
          <w:szCs w:val="36"/>
        </w:rPr>
        <w:br w:type="page"/>
      </w:r>
    </w:p>
    <w:p>
      <w:pPr>
        <w:autoSpaceDE w:val="0"/>
        <w:autoSpaceDN w:val="0"/>
        <w:adjustRightInd w:val="0"/>
        <w:spacing w:line="600" w:lineRule="exact"/>
        <w:ind w:firstLine="720" w:firstLineChars="200"/>
        <w:jc w:val="center"/>
        <w:rPr>
          <w:rFonts w:ascii="仿宋" w:hAnsi="仿宋" w:eastAsia="仿宋"/>
          <w:b/>
          <w:color w:val="auto"/>
          <w:sz w:val="32"/>
          <w:szCs w:val="32"/>
        </w:rPr>
      </w:pPr>
      <w:r>
        <w:rPr>
          <w:rFonts w:hint="eastAsia" w:ascii="黑体" w:hAnsi="黑体" w:eastAsia="黑体"/>
          <w:color w:val="auto"/>
          <w:sz w:val="36"/>
          <w:szCs w:val="36"/>
        </w:rPr>
        <w:t>第四部分 名词解释</w:t>
      </w:r>
    </w:p>
    <w:p>
      <w:pPr>
        <w:autoSpaceDE w:val="0"/>
        <w:autoSpaceDN w:val="0"/>
        <w:adjustRightInd w:val="0"/>
        <w:spacing w:line="600" w:lineRule="exact"/>
        <w:ind w:firstLine="640" w:firstLineChars="200"/>
        <w:jc w:val="left"/>
        <w:rPr>
          <w:rFonts w:ascii="仿宋" w:hAnsi="仿宋" w:eastAsia="仿宋" w:cs="仿宋_GB2312"/>
          <w:color w:val="auto"/>
          <w:kern w:val="0"/>
          <w:sz w:val="32"/>
          <w:szCs w:val="32"/>
        </w:rPr>
      </w:pP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一、财政拨款收入：指</w:t>
      </w:r>
      <w:r>
        <w:rPr>
          <w:rFonts w:hint="eastAsia" w:ascii="仿宋" w:hAnsi="仿宋" w:eastAsia="仿宋" w:cs="仿宋"/>
          <w:color w:val="auto"/>
          <w:kern w:val="0"/>
          <w:sz w:val="32"/>
          <w:szCs w:val="32"/>
          <w:lang w:eastAsia="zh-CN"/>
        </w:rPr>
        <w:t>县</w:t>
      </w:r>
      <w:r>
        <w:rPr>
          <w:rFonts w:hint="eastAsia" w:ascii="仿宋" w:hAnsi="仿宋" w:eastAsia="仿宋" w:cs="仿宋"/>
          <w:color w:val="auto"/>
          <w:kern w:val="0"/>
          <w:sz w:val="32"/>
          <w:szCs w:val="32"/>
        </w:rPr>
        <w:t xml:space="preserve">级财政当年拨付的资金。 </w:t>
      </w: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四、其他收入：指除上述</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财政拨款收入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事业收入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经营收入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五、用事业基金弥补收支差额：指事业单位在当年的</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财政拨款收入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事业收入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经营收入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其他收入</w:t>
      </w:r>
      <w:r>
        <w:rPr>
          <w:rFonts w:ascii="仿宋" w:hAnsi="仿宋" w:eastAsia="仿宋" w:cs="仿宋"/>
          <w:color w:val="auto"/>
          <w:kern w:val="0"/>
          <w:sz w:val="32"/>
          <w:szCs w:val="32"/>
        </w:rPr>
        <w:t>”</w:t>
      </w:r>
      <w:r>
        <w:rPr>
          <w:rFonts w:hint="eastAsia" w:ascii="仿宋" w:hAnsi="仿宋" w:eastAsia="仿宋" w:cs="仿宋"/>
          <w:color w:val="auto"/>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auto"/>
          <w:kern w:val="0"/>
          <w:sz w:val="32"/>
          <w:szCs w:val="32"/>
        </w:rPr>
      </w:pPr>
      <w:r>
        <w:rPr>
          <w:rFonts w:hint="eastAsia" w:ascii="仿宋" w:hAnsi="仿宋" w:eastAsia="仿宋" w:cs="仿宋"/>
          <w:color w:val="auto"/>
          <w:kern w:val="0"/>
          <w:sz w:val="32"/>
          <w:szCs w:val="32"/>
        </w:rPr>
        <w:t>六、年初结转和结余：指以前年度尚未完成、结转到本年按有关规定继续使用的资金。</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七、结余分配：指事业单位按规定提取的职工福利基金、事业基金和缴纳的所得税，以及建设单位按规定应交回的基本建设竣工项目结余资金。 </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八、年末结转和结余：指本年度或以前年度预算安排、因客观条件发生变化无法按原计划实施，需延迟到以后年度按有关规定继续使用的资金。 </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九、基本支出：指为保障机构正常运转、完成日常工作任务而发生的人员支出和公用支出。 </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十、项目支出：指在基本支出之外为完成特定行政任务和事业发展目标所发生的支出。 </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 xml:space="preserve">十一、经营支出：指事业单位在专业业务活动及其辅助活动之外开展非独立核算经营活动发生的支出。 </w:t>
      </w:r>
    </w:p>
    <w:p>
      <w:pPr>
        <w:pStyle w:val="6"/>
        <w:spacing w:line="600" w:lineRule="exact"/>
        <w:ind w:firstLine="640"/>
        <w:rPr>
          <w:rFonts w:ascii="仿宋" w:hAnsi="仿宋" w:eastAsia="仿宋" w:cs="仿宋"/>
          <w:color w:val="auto"/>
          <w:sz w:val="32"/>
          <w:szCs w:val="32"/>
        </w:rPr>
      </w:pPr>
      <w:r>
        <w:rPr>
          <w:rFonts w:hint="eastAsia" w:ascii="仿宋" w:hAnsi="仿宋" w:eastAsia="仿宋" w:cs="仿宋"/>
          <w:color w:val="auto"/>
          <w:sz w:val="32"/>
          <w:szCs w:val="32"/>
        </w:rPr>
        <w:t>十二、</w:t>
      </w:r>
      <w:r>
        <w:rPr>
          <w:rFonts w:ascii="仿宋" w:hAnsi="仿宋" w:eastAsia="仿宋" w:cs="仿宋"/>
          <w:color w:val="auto"/>
          <w:sz w:val="32"/>
          <w:szCs w:val="32"/>
        </w:rPr>
        <w:t>“</w:t>
      </w:r>
      <w:r>
        <w:rPr>
          <w:rFonts w:hint="eastAsia" w:ascii="仿宋" w:hAnsi="仿宋" w:eastAsia="仿宋" w:cs="仿宋"/>
          <w:color w:val="auto"/>
          <w:sz w:val="32"/>
          <w:szCs w:val="32"/>
        </w:rPr>
        <w:t>三公</w:t>
      </w:r>
      <w:r>
        <w:rPr>
          <w:rFonts w:ascii="仿宋" w:hAnsi="仿宋" w:eastAsia="仿宋" w:cs="仿宋"/>
          <w:color w:val="auto"/>
          <w:sz w:val="32"/>
          <w:szCs w:val="32"/>
        </w:rPr>
        <w:t>”</w:t>
      </w:r>
      <w:r>
        <w:rPr>
          <w:rFonts w:hint="eastAsia" w:ascii="仿宋" w:hAnsi="仿宋" w:eastAsia="仿宋" w:cs="仿宋"/>
          <w:color w:val="auto"/>
          <w:sz w:val="32"/>
          <w:szCs w:val="32"/>
        </w:rPr>
        <w:t>经费：纳入</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级财政预决算管理的</w:t>
      </w:r>
      <w:r>
        <w:rPr>
          <w:rFonts w:ascii="仿宋" w:hAnsi="仿宋" w:eastAsia="仿宋" w:cs="仿宋"/>
          <w:color w:val="auto"/>
          <w:sz w:val="32"/>
          <w:szCs w:val="32"/>
        </w:rPr>
        <w:t>“</w:t>
      </w:r>
      <w:r>
        <w:rPr>
          <w:rFonts w:hint="eastAsia" w:ascii="仿宋" w:hAnsi="仿宋" w:eastAsia="仿宋" w:cs="仿宋"/>
          <w:color w:val="auto"/>
          <w:sz w:val="32"/>
          <w:szCs w:val="32"/>
        </w:rPr>
        <w:t>三公</w:t>
      </w:r>
      <w:r>
        <w:rPr>
          <w:rFonts w:ascii="仿宋" w:hAnsi="仿宋" w:eastAsia="仿宋" w:cs="仿宋"/>
          <w:color w:val="auto"/>
          <w:sz w:val="32"/>
          <w:szCs w:val="32"/>
        </w:rPr>
        <w:t>”</w:t>
      </w:r>
      <w:r>
        <w:rPr>
          <w:rFonts w:hint="eastAsia" w:ascii="仿宋" w:hAnsi="仿宋" w:eastAsia="仿宋" w:cs="仿宋"/>
          <w:color w:val="auto"/>
          <w:sz w:val="32"/>
          <w:szCs w:val="32"/>
        </w:rPr>
        <w:t>经费，是指</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 xml:space="preserve">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jc w:val="left"/>
        <w:rPr>
          <w:rFonts w:ascii="仿宋" w:hAnsi="仿宋" w:eastAsia="仿宋"/>
          <w:color w:val="auto"/>
          <w:sz w:val="32"/>
          <w:szCs w:val="32"/>
        </w:rPr>
      </w:pPr>
      <w:r>
        <w:rPr>
          <w:rFonts w:hint="eastAsia" w:ascii="仿宋" w:hAnsi="仿宋" w:eastAsia="仿宋" w:cs="仿宋"/>
          <w:color w:val="auto"/>
          <w:kern w:val="0"/>
          <w:sz w:val="32"/>
          <w:szCs w:val="32"/>
        </w:rPr>
        <w:t>十三、机关运行经费：为保障行政单位（含参照公务员法管理的事业单位）运行用于购买货物和服务的各项资金，包括办公及印刷费、邮电费、差旅费、会议</w:t>
      </w:r>
      <w:r>
        <w:rPr>
          <w:rFonts w:hint="eastAsia" w:ascii="仿宋" w:hAnsi="仿宋" w:eastAsia="仿宋"/>
          <w:color w:val="auto"/>
          <w:sz w:val="32"/>
          <w:szCs w:val="32"/>
        </w:rPr>
        <w:t>费、福利费、日常维修费、专用材料及一般设备购置费、办公用房水电费、办公用房取暖费、办公用房物业管理费、公务用车运行维护费以及其他费用。</w:t>
      </w:r>
    </w:p>
    <w:sectPr>
      <w:footerReference r:id="rId4" w:type="default"/>
      <w:pgSz w:w="11906" w:h="16838"/>
      <w:pgMar w:top="1440" w:right="1800" w:bottom="1440" w:left="1800" w:header="851" w:footer="992" w:gutter="0"/>
      <w:pgNumType w:start="1"/>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黑体.....">
    <w:altName w:val="黑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Calibri" w:hAnsi="Calibri" w:eastAsia="宋体" w:cs="黑体"/>
        <w:kern w:val="2"/>
        <w:sz w:val="18"/>
        <w:szCs w:val="18"/>
        <w:lang w:val="en-US" w:eastAsia="zh-CN" w:bidi="ar-SA"/>
      </w:rPr>
      <w:pict>
        <v:shape id="_x0000_s4097" o:spid="_x0000_s1025" type="#_x0000_t202" style="position:absolute;left:0;margin-left:203.1pt;margin-top:-9.05pt;height:20.05pt;width:29.45pt;mso-position-horizontal-relative:margin;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pStyle w:val="3"/>
                  <w:jc w:val="center"/>
                  <w:rPr>
                    <w:sz w:val="30"/>
                    <w:szCs w:val="30"/>
                  </w:rPr>
                </w:pPr>
                <w:r>
                  <w:rPr>
                    <w:sz w:val="30"/>
                    <w:szCs w:val="30"/>
                  </w:rPr>
                  <w:fldChar w:fldCharType="begin"/>
                </w:r>
                <w:r>
                  <w:rPr>
                    <w:sz w:val="30"/>
                    <w:szCs w:val="30"/>
                  </w:rPr>
                  <w:instrText xml:space="preserve"> PAGE  \* MERGEFORMAT </w:instrText>
                </w:r>
                <w:r>
                  <w:rPr>
                    <w:sz w:val="30"/>
                    <w:szCs w:val="30"/>
                  </w:rPr>
                  <w:fldChar w:fldCharType="separate"/>
                </w:r>
                <w:r>
                  <w:rPr>
                    <w:sz w:val="30"/>
                    <w:szCs w:val="30"/>
                  </w:rPr>
                  <w:t>1</w:t>
                </w:r>
                <w:r>
                  <w:rPr>
                    <w:sz w:val="30"/>
                    <w:szCs w:val="30"/>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11245992">
    <w:nsid w:val="6BF56BA8"/>
    <w:multiLevelType w:val="multilevel"/>
    <w:tmpl w:val="6BF56BA8"/>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8112459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qFormat="1" w:uiPriority="99" w:name="Balloon Text"/>
  </w:latentStyles>
  <w:style w:type="paragraph" w:default="1" w:styleId="1">
    <w:name w:val="Normal"/>
    <w:qFormat/>
    <w:uiPriority w:val="0"/>
    <w:pPr>
      <w:widowControl w:val="0"/>
      <w:spacing w:line="276" w:lineRule="auto"/>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paragraph" w:styleId="2">
    <w:name w:val="Balloon Text"/>
    <w:basedOn w:val="1"/>
    <w:link w:val="9"/>
    <w:semiHidden/>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7">
    <w:name w:val="List Paragraph"/>
    <w:basedOn w:val="1"/>
    <w:qFormat/>
    <w:uiPriority w:val="34"/>
    <w:pPr>
      <w:ind w:firstLine="420" w:firstLineChars="200"/>
    </w:pPr>
  </w:style>
  <w:style w:type="paragraph" w:customStyle="1" w:styleId="8">
    <w:name w:val="No Spacing"/>
    <w:link w:val="12"/>
    <w:qFormat/>
    <w:uiPriority w:val="1"/>
    <w:rPr>
      <w:rFonts w:ascii="Calibri" w:hAnsi="Calibri" w:eastAsia="宋体" w:cs="黑体"/>
      <w:sz w:val="22"/>
      <w:szCs w:val="22"/>
      <w:lang w:val="en-US" w:eastAsia="zh-CN" w:bidi="ar-SA"/>
    </w:rPr>
  </w:style>
  <w:style w:type="character" w:customStyle="1" w:styleId="9">
    <w:name w:val="批注框文本 Char Char"/>
    <w:basedOn w:val="5"/>
    <w:link w:val="2"/>
    <w:uiPriority w:val="99"/>
    <w:rPr>
      <w:sz w:val="18"/>
      <w:szCs w:val="18"/>
    </w:rPr>
  </w:style>
  <w:style w:type="character" w:customStyle="1" w:styleId="10">
    <w:name w:val="页眉 Char Char"/>
    <w:basedOn w:val="5"/>
    <w:link w:val="4"/>
    <w:uiPriority w:val="99"/>
    <w:rPr>
      <w:sz w:val="18"/>
      <w:szCs w:val="18"/>
    </w:rPr>
  </w:style>
  <w:style w:type="character" w:customStyle="1" w:styleId="11">
    <w:name w:val="页脚 Char Char"/>
    <w:basedOn w:val="5"/>
    <w:link w:val="3"/>
    <w:uiPriority w:val="99"/>
    <w:rPr>
      <w:sz w:val="18"/>
      <w:szCs w:val="18"/>
    </w:rPr>
  </w:style>
  <w:style w:type="character" w:customStyle="1" w:styleId="12">
    <w:name w:val="无间隔 Char"/>
    <w:basedOn w:val="5"/>
    <w:link w:val="8"/>
    <w:qFormat/>
    <w:uiPriority w:val="1"/>
    <w:rPr>
      <w:kern w:val="0"/>
      <w:sz w:val="22"/>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29</Pages>
  <Words>2737</Words>
  <Characters>15602</Characters>
  <Lines>130</Lines>
  <Paragraphs>36</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2019-06-28T01:47:00Z</dcterms:created>
  <dc:creator>刘菁</dc:creator>
  <cp:lastModifiedBy>Administrator</cp:lastModifiedBy>
  <cp:lastPrinted>2020-07-22T10:11:00Z</cp:lastPrinted>
  <dcterms:modified xsi:type="dcterms:W3CDTF">2022-03-16T09:27:44Z</dcterms:modified>
  <dc:title>2019年度中国共产党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y fmtid="{D5CDD505-2E9C-101B-9397-08002B2CF9AE}" pid="3" name="ICV">
    <vt:lpwstr>C21094CEDF8341B2AC81CD3D1D79342B</vt:lpwstr>
  </property>
</Properties>
</file>