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sz w:val="84"/>
          <w:szCs w:val="84"/>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2019年度</w:t>
      </w:r>
    </w:p>
    <w:p>
      <w:pPr>
        <w:widowControl/>
        <w:jc w:val="center"/>
        <w:rPr>
          <w:rFonts w:ascii="方正小标宋简体" w:eastAsia="方正小标宋简体"/>
          <w:sz w:val="72"/>
          <w:szCs w:val="72"/>
        </w:rPr>
      </w:pPr>
      <w:r>
        <w:rPr>
          <w:rFonts w:hint="eastAsia" w:ascii="方正小标宋简体" w:eastAsia="方正小标宋简体"/>
          <w:sz w:val="72"/>
          <w:szCs w:val="72"/>
        </w:rPr>
        <w:t>连城县档案馆部门决算</w:t>
      </w:r>
    </w:p>
    <w:p>
      <w:pPr>
        <w:widowControl/>
        <w:rPr>
          <w:sz w:val="84"/>
          <w:szCs w:val="84"/>
        </w:rPr>
      </w:pPr>
      <w:r>
        <w:rPr>
          <w:sz w:val="84"/>
          <w:szCs w:val="84"/>
        </w:rPr>
        <w:br w:type="page"/>
      </w:r>
    </w:p>
    <w:p>
      <w:pPr>
        <w:jc w:val="center"/>
        <w:rPr>
          <w:rFonts w:ascii="仿宋" w:hAnsi="仿宋" w:eastAsia="仿宋"/>
          <w:b/>
          <w:sz w:val="32"/>
          <w:szCs w:val="32"/>
        </w:rPr>
      </w:pPr>
      <w:r>
        <w:rPr>
          <w:rFonts w:hint="eastAsia" w:ascii="仿宋" w:hAnsi="仿宋" w:eastAsia="仿宋"/>
          <w:b/>
          <w:sz w:val="32"/>
          <w:szCs w:val="32"/>
        </w:rPr>
        <w:t>目 录</w:t>
      </w:r>
    </w:p>
    <w:p>
      <w:pPr>
        <w:jc w:val="left"/>
        <w:rPr>
          <w:rFonts w:ascii="仿宋" w:hAnsi="仿宋" w:eastAsia="仿宋"/>
          <w:sz w:val="32"/>
          <w:szCs w:val="32"/>
        </w:rPr>
      </w:pPr>
      <w:r>
        <w:rPr>
          <w:rFonts w:hint="eastAsia" w:ascii="仿宋" w:hAnsi="仿宋" w:eastAsia="仿宋"/>
          <w:b/>
          <w:sz w:val="32"/>
          <w:szCs w:val="32"/>
        </w:rPr>
        <w:t>第一部分 部门概况</w:t>
      </w:r>
      <w:r>
        <w:rPr>
          <w:rFonts w:hint="eastAsia" w:ascii="仿宋" w:hAnsi="仿宋" w:eastAsia="仿宋"/>
          <w:sz w:val="32"/>
          <w:szCs w:val="32"/>
        </w:rPr>
        <w:t xml:space="preserve"> ................................1</w:t>
      </w:r>
    </w:p>
    <w:p>
      <w:pPr>
        <w:jc w:val="left"/>
        <w:rPr>
          <w:rFonts w:ascii="仿宋" w:hAnsi="仿宋" w:eastAsia="仿宋"/>
          <w:sz w:val="32"/>
          <w:szCs w:val="32"/>
        </w:rPr>
      </w:pPr>
      <w:r>
        <w:rPr>
          <w:rFonts w:hint="eastAsia" w:ascii="仿宋" w:hAnsi="仿宋" w:eastAsia="仿宋"/>
          <w:sz w:val="32"/>
          <w:szCs w:val="32"/>
        </w:rPr>
        <w:t>一、部门主要职责 ..................................1</w:t>
      </w:r>
    </w:p>
    <w:p>
      <w:pPr>
        <w:jc w:val="left"/>
        <w:rPr>
          <w:rFonts w:ascii="仿宋" w:hAnsi="仿宋" w:eastAsia="仿宋"/>
          <w:sz w:val="32"/>
          <w:szCs w:val="32"/>
        </w:rPr>
      </w:pPr>
      <w:r>
        <w:rPr>
          <w:rFonts w:hint="eastAsia" w:ascii="仿宋" w:hAnsi="仿宋" w:eastAsia="仿宋"/>
          <w:sz w:val="32"/>
          <w:szCs w:val="32"/>
        </w:rPr>
        <w:t>二、部门决算单位基本情况 ..........................2</w:t>
      </w:r>
    </w:p>
    <w:p>
      <w:pPr>
        <w:jc w:val="left"/>
        <w:rPr>
          <w:rFonts w:ascii="仿宋" w:hAnsi="仿宋" w:eastAsia="仿宋"/>
          <w:sz w:val="32"/>
          <w:szCs w:val="32"/>
        </w:rPr>
      </w:pPr>
      <w:r>
        <w:rPr>
          <w:rFonts w:hint="eastAsia" w:ascii="仿宋" w:hAnsi="仿宋" w:eastAsia="仿宋"/>
          <w:sz w:val="32"/>
          <w:szCs w:val="32"/>
        </w:rPr>
        <w:t>三、部门主要工作总结...............................2</w:t>
      </w:r>
    </w:p>
    <w:p>
      <w:pPr>
        <w:jc w:val="left"/>
        <w:rPr>
          <w:rFonts w:ascii="仿宋" w:hAnsi="仿宋" w:eastAsia="仿宋"/>
          <w:sz w:val="32"/>
          <w:szCs w:val="32"/>
        </w:rPr>
      </w:pPr>
      <w:r>
        <w:rPr>
          <w:rFonts w:hint="eastAsia" w:ascii="仿宋" w:hAnsi="仿宋" w:eastAsia="仿宋"/>
          <w:b/>
          <w:sz w:val="32"/>
          <w:szCs w:val="32"/>
        </w:rPr>
        <w:t xml:space="preserve">第二部分 </w:t>
      </w:r>
      <w:r>
        <w:rPr>
          <w:rFonts w:hint="eastAsia" w:ascii="仿宋" w:hAnsi="仿宋" w:eastAsia="仿宋" w:cs="仿宋_GB2312"/>
          <w:sz w:val="32"/>
          <w:szCs w:val="32"/>
        </w:rPr>
        <w:t>2019</w:t>
      </w:r>
      <w:r>
        <w:rPr>
          <w:rFonts w:hint="eastAsia" w:ascii="仿宋" w:hAnsi="仿宋" w:eastAsia="仿宋"/>
          <w:b/>
          <w:sz w:val="32"/>
          <w:szCs w:val="32"/>
        </w:rPr>
        <w:t>年度部门决算表</w:t>
      </w:r>
      <w:r>
        <w:rPr>
          <w:rFonts w:hint="eastAsia" w:ascii="仿宋" w:hAnsi="仿宋" w:eastAsia="仿宋"/>
          <w:sz w:val="32"/>
          <w:szCs w:val="32"/>
        </w:rPr>
        <w:t xml:space="preserve"> ......................9</w:t>
      </w:r>
    </w:p>
    <w:p>
      <w:pPr>
        <w:jc w:val="left"/>
        <w:rPr>
          <w:rFonts w:ascii="仿宋" w:hAnsi="仿宋" w:eastAsia="仿宋"/>
          <w:sz w:val="32"/>
          <w:szCs w:val="32"/>
        </w:rPr>
      </w:pPr>
      <w:r>
        <w:rPr>
          <w:rFonts w:hint="eastAsia" w:ascii="仿宋" w:hAnsi="仿宋" w:eastAsia="仿宋"/>
          <w:sz w:val="32"/>
          <w:szCs w:val="32"/>
        </w:rPr>
        <w:t>一、收入支出决算总表 ..............................9</w:t>
      </w:r>
    </w:p>
    <w:p>
      <w:pPr>
        <w:jc w:val="left"/>
        <w:rPr>
          <w:rFonts w:ascii="仿宋" w:hAnsi="仿宋" w:eastAsia="仿宋"/>
          <w:sz w:val="32"/>
          <w:szCs w:val="32"/>
        </w:rPr>
      </w:pPr>
      <w:r>
        <w:rPr>
          <w:rFonts w:hint="eastAsia" w:ascii="仿宋" w:hAnsi="仿宋" w:eastAsia="仿宋"/>
          <w:sz w:val="32"/>
          <w:szCs w:val="32"/>
        </w:rPr>
        <w:t>二、收入决算表 ...................................10</w:t>
      </w:r>
    </w:p>
    <w:p>
      <w:pPr>
        <w:jc w:val="left"/>
        <w:rPr>
          <w:rFonts w:ascii="仿宋" w:hAnsi="仿宋" w:eastAsia="仿宋"/>
          <w:sz w:val="32"/>
          <w:szCs w:val="32"/>
        </w:rPr>
      </w:pPr>
      <w:r>
        <w:rPr>
          <w:rFonts w:hint="eastAsia" w:ascii="仿宋" w:hAnsi="仿宋" w:eastAsia="仿宋"/>
          <w:sz w:val="32"/>
          <w:szCs w:val="32"/>
        </w:rPr>
        <w:t>三、支出决算表 ...................................10</w:t>
      </w:r>
    </w:p>
    <w:p>
      <w:pPr>
        <w:jc w:val="left"/>
        <w:rPr>
          <w:rFonts w:ascii="仿宋" w:hAnsi="仿宋" w:eastAsia="仿宋"/>
          <w:sz w:val="32"/>
          <w:szCs w:val="32"/>
        </w:rPr>
      </w:pPr>
      <w:r>
        <w:rPr>
          <w:rFonts w:hint="eastAsia" w:ascii="仿宋" w:hAnsi="仿宋" w:eastAsia="仿宋"/>
          <w:sz w:val="32"/>
          <w:szCs w:val="32"/>
        </w:rPr>
        <w:t>四、财政拨款收入支出决算总表 .....................10</w:t>
      </w:r>
    </w:p>
    <w:p>
      <w:pPr>
        <w:jc w:val="left"/>
        <w:rPr>
          <w:rFonts w:ascii="仿宋" w:hAnsi="仿宋" w:eastAsia="仿宋"/>
          <w:sz w:val="32"/>
          <w:szCs w:val="32"/>
        </w:rPr>
      </w:pPr>
      <w:r>
        <w:rPr>
          <w:rFonts w:hint="eastAsia" w:ascii="仿宋" w:hAnsi="仿宋" w:eastAsia="仿宋"/>
          <w:sz w:val="32"/>
          <w:szCs w:val="32"/>
        </w:rPr>
        <w:t>五、一般公共预算财政拨款支出决算表 ...............11</w:t>
      </w:r>
    </w:p>
    <w:p>
      <w:pPr>
        <w:jc w:val="left"/>
        <w:rPr>
          <w:rFonts w:ascii="仿宋" w:hAnsi="仿宋" w:eastAsia="仿宋"/>
          <w:sz w:val="32"/>
          <w:szCs w:val="32"/>
        </w:rPr>
      </w:pPr>
      <w:r>
        <w:rPr>
          <w:rFonts w:hint="eastAsia" w:ascii="仿宋" w:hAnsi="仿宋" w:eastAsia="仿宋"/>
          <w:sz w:val="32"/>
          <w:szCs w:val="32"/>
        </w:rPr>
        <w:t>六、</w:t>
      </w:r>
      <w:r>
        <w:rPr>
          <w:rFonts w:hint="eastAsia" w:ascii="仿宋" w:hAnsi="仿宋" w:eastAsia="仿宋"/>
          <w:spacing w:val="-14"/>
          <w:sz w:val="32"/>
          <w:szCs w:val="32"/>
        </w:rPr>
        <w:t>一般公共预算财政拨款支出决算明细表</w:t>
      </w:r>
      <w:r>
        <w:rPr>
          <w:rFonts w:hint="eastAsia" w:ascii="仿宋" w:hAnsi="仿宋" w:eastAsia="仿宋"/>
          <w:sz w:val="32"/>
          <w:szCs w:val="32"/>
        </w:rPr>
        <w:t>...............12七、一般公共预算财政拨款基本支出决算表 ...........12</w:t>
      </w:r>
    </w:p>
    <w:p>
      <w:pPr>
        <w:jc w:val="left"/>
        <w:rPr>
          <w:rFonts w:ascii="仿宋" w:hAnsi="仿宋" w:eastAsia="仿宋"/>
          <w:sz w:val="32"/>
          <w:szCs w:val="32"/>
        </w:rPr>
      </w:pPr>
      <w:r>
        <w:rPr>
          <w:rFonts w:hint="eastAsia" w:ascii="仿宋" w:hAnsi="仿宋" w:eastAsia="仿宋"/>
          <w:sz w:val="32"/>
          <w:szCs w:val="32"/>
        </w:rPr>
        <w:t>八、政府性基金预算财政拨款收入支出决算表 .........14</w:t>
      </w:r>
    </w:p>
    <w:p>
      <w:pPr>
        <w:jc w:val="left"/>
        <w:rPr>
          <w:rFonts w:ascii="仿宋" w:hAnsi="仿宋" w:eastAsia="仿宋"/>
          <w:sz w:val="32"/>
          <w:szCs w:val="32"/>
        </w:rPr>
      </w:pPr>
      <w:r>
        <w:rPr>
          <w:rFonts w:hint="eastAsia" w:ascii="仿宋" w:hAnsi="仿宋" w:eastAsia="仿宋"/>
          <w:sz w:val="32"/>
          <w:szCs w:val="32"/>
        </w:rPr>
        <w:t>九、</w:t>
      </w:r>
      <w:r>
        <w:rPr>
          <w:rFonts w:hint="eastAsia" w:ascii="仿宋" w:hAnsi="仿宋" w:eastAsia="仿宋"/>
          <w:spacing w:val="-14"/>
          <w:sz w:val="32"/>
          <w:szCs w:val="32"/>
        </w:rPr>
        <w:t>机构运行信息表</w:t>
      </w:r>
      <w:r>
        <w:rPr>
          <w:rFonts w:hint="eastAsia" w:ascii="仿宋" w:hAnsi="仿宋" w:eastAsia="仿宋"/>
          <w:sz w:val="32"/>
          <w:szCs w:val="32"/>
        </w:rPr>
        <w:t>.................................15</w:t>
      </w:r>
    </w:p>
    <w:p>
      <w:pPr>
        <w:jc w:val="left"/>
        <w:rPr>
          <w:rFonts w:ascii="仿宋" w:hAnsi="仿宋" w:eastAsia="仿宋"/>
          <w:sz w:val="32"/>
          <w:szCs w:val="32"/>
        </w:rPr>
      </w:pPr>
      <w:r>
        <w:rPr>
          <w:rFonts w:hint="eastAsia" w:ascii="仿宋" w:hAnsi="仿宋" w:eastAsia="仿宋"/>
          <w:b/>
          <w:sz w:val="32"/>
          <w:szCs w:val="32"/>
        </w:rPr>
        <w:t xml:space="preserve">第三部分 </w:t>
      </w:r>
      <w:r>
        <w:rPr>
          <w:rFonts w:hint="eastAsia" w:ascii="仿宋" w:hAnsi="仿宋" w:eastAsia="仿宋" w:cs="仿宋_GB2312"/>
          <w:sz w:val="32"/>
          <w:szCs w:val="32"/>
        </w:rPr>
        <w:t>2019</w:t>
      </w:r>
      <w:r>
        <w:rPr>
          <w:rFonts w:hint="eastAsia" w:ascii="仿宋" w:hAnsi="仿宋" w:eastAsia="仿宋"/>
          <w:b/>
          <w:sz w:val="32"/>
          <w:szCs w:val="32"/>
        </w:rPr>
        <w:t>年度部门决算情况说明</w:t>
      </w:r>
      <w:r>
        <w:rPr>
          <w:rFonts w:hint="eastAsia" w:ascii="仿宋" w:hAnsi="仿宋" w:eastAsia="仿宋"/>
          <w:sz w:val="32"/>
          <w:szCs w:val="32"/>
        </w:rPr>
        <w:t xml:space="preserve"> ...............16</w:t>
      </w:r>
    </w:p>
    <w:p>
      <w:pPr>
        <w:jc w:val="left"/>
        <w:rPr>
          <w:rFonts w:ascii="仿宋" w:hAnsi="仿宋" w:eastAsia="仿宋"/>
          <w:sz w:val="32"/>
          <w:szCs w:val="32"/>
        </w:rPr>
      </w:pPr>
      <w:r>
        <w:rPr>
          <w:rFonts w:hint="eastAsia" w:ascii="仿宋" w:hAnsi="仿宋" w:eastAsia="仿宋"/>
          <w:sz w:val="32"/>
          <w:szCs w:val="32"/>
        </w:rPr>
        <w:t>一、收入支出决算总体情况说明 .....................16</w:t>
      </w:r>
    </w:p>
    <w:p>
      <w:pPr>
        <w:jc w:val="left"/>
        <w:rPr>
          <w:rFonts w:ascii="仿宋" w:hAnsi="仿宋" w:eastAsia="仿宋"/>
          <w:sz w:val="32"/>
          <w:szCs w:val="32"/>
        </w:rPr>
      </w:pPr>
      <w:r>
        <w:rPr>
          <w:rFonts w:hint="eastAsia" w:ascii="仿宋" w:hAnsi="仿宋" w:eastAsia="仿宋"/>
          <w:sz w:val="32"/>
          <w:szCs w:val="32"/>
        </w:rPr>
        <w:t>二、一般公共预算财政拨款支出决算情况说明..........17</w:t>
      </w:r>
    </w:p>
    <w:p>
      <w:pPr>
        <w:jc w:val="left"/>
        <w:rPr>
          <w:rFonts w:ascii="仿宋" w:hAnsi="仿宋" w:eastAsia="仿宋"/>
          <w:sz w:val="32"/>
          <w:szCs w:val="32"/>
        </w:rPr>
      </w:pPr>
      <w:r>
        <w:rPr>
          <w:rFonts w:hint="eastAsia" w:ascii="仿宋" w:hAnsi="仿宋" w:eastAsia="仿宋"/>
          <w:sz w:val="32"/>
          <w:szCs w:val="32"/>
        </w:rPr>
        <w:t>三、政府性基金支出决算情况说明 ...................17</w:t>
      </w:r>
    </w:p>
    <w:p>
      <w:pPr>
        <w:jc w:val="left"/>
        <w:rPr>
          <w:rFonts w:ascii="仿宋" w:hAnsi="仿宋" w:eastAsia="仿宋"/>
          <w:sz w:val="32"/>
          <w:szCs w:val="32"/>
        </w:rPr>
      </w:pPr>
      <w:r>
        <w:rPr>
          <w:rFonts w:hint="eastAsia" w:ascii="仿宋" w:hAnsi="仿宋" w:eastAsia="仿宋"/>
          <w:sz w:val="32"/>
          <w:szCs w:val="32"/>
        </w:rPr>
        <w:t>四、一般公共预算财政拨款基本支出决算情况说明......17</w:t>
      </w:r>
    </w:p>
    <w:p>
      <w:pPr>
        <w:jc w:val="left"/>
        <w:rPr>
          <w:rFonts w:ascii="仿宋" w:hAnsi="仿宋" w:eastAsia="仿宋"/>
          <w:sz w:val="32"/>
          <w:szCs w:val="32"/>
        </w:rPr>
      </w:pPr>
      <w:r>
        <w:rPr>
          <w:rFonts w:hint="eastAsia" w:ascii="仿宋" w:hAnsi="仿宋" w:eastAsia="仿宋"/>
          <w:sz w:val="32"/>
          <w:szCs w:val="32"/>
        </w:rPr>
        <w:t>五、一般公共预算财政拨款“三公”经费支出决算情况说明 ..............................................18</w:t>
      </w:r>
    </w:p>
    <w:p>
      <w:pPr>
        <w:jc w:val="left"/>
        <w:rPr>
          <w:rFonts w:ascii="仿宋" w:hAnsi="仿宋" w:eastAsia="仿宋"/>
          <w:sz w:val="32"/>
          <w:szCs w:val="32"/>
        </w:rPr>
      </w:pPr>
      <w:r>
        <w:rPr>
          <w:rFonts w:hint="eastAsia" w:ascii="仿宋" w:hAnsi="仿宋" w:eastAsia="仿宋"/>
          <w:sz w:val="32"/>
          <w:szCs w:val="32"/>
        </w:rPr>
        <w:t>六、预算绩效情况说明..............................19</w:t>
      </w:r>
    </w:p>
    <w:p>
      <w:pPr>
        <w:jc w:val="left"/>
        <w:rPr>
          <w:rFonts w:ascii="仿宋" w:hAnsi="仿宋" w:eastAsia="仿宋"/>
          <w:sz w:val="32"/>
          <w:szCs w:val="32"/>
        </w:rPr>
      </w:pPr>
      <w:r>
        <w:rPr>
          <w:rFonts w:hint="eastAsia" w:ascii="仿宋" w:hAnsi="仿宋" w:eastAsia="仿宋"/>
          <w:sz w:val="32"/>
          <w:szCs w:val="32"/>
        </w:rPr>
        <w:t>七、其他重要事项情况说明..........................19</w:t>
      </w:r>
    </w:p>
    <w:p>
      <w:pPr>
        <w:jc w:val="left"/>
        <w:rPr>
          <w:rFonts w:ascii="仿宋" w:hAnsi="仿宋" w:eastAsia="仿宋"/>
          <w:sz w:val="32"/>
          <w:szCs w:val="32"/>
        </w:rPr>
      </w:pPr>
      <w:r>
        <w:rPr>
          <w:rFonts w:hint="eastAsia" w:ascii="仿宋" w:hAnsi="仿宋" w:eastAsia="仿宋"/>
          <w:b/>
          <w:sz w:val="32"/>
          <w:szCs w:val="32"/>
        </w:rPr>
        <w:t>第四部分 名词解释</w:t>
      </w:r>
      <w:r>
        <w:rPr>
          <w:rFonts w:hint="eastAsia" w:ascii="仿宋" w:hAnsi="仿宋" w:eastAsia="仿宋"/>
          <w:sz w:val="32"/>
          <w:szCs w:val="32"/>
        </w:rPr>
        <w:t xml:space="preserve"> ...............................21</w:t>
      </w: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center"/>
        <w:rPr>
          <w:rFonts w:ascii="黑体" w:hAnsi="黑体" w:eastAsia="黑体"/>
          <w:sz w:val="36"/>
          <w:szCs w:val="36"/>
        </w:rPr>
        <w:sectPr>
          <w:pgSz w:w="11906" w:h="16838"/>
          <w:pgMar w:top="1440" w:right="1800" w:bottom="1440" w:left="1800" w:header="851" w:footer="992" w:gutter="0"/>
          <w:cols w:space="720" w:num="1"/>
          <w:docGrid w:type="lines" w:linePitch="312" w:charSpace="0"/>
        </w:sectPr>
      </w:pPr>
    </w:p>
    <w:p>
      <w:pPr>
        <w:jc w:val="center"/>
        <w:rPr>
          <w:rFonts w:ascii="黑体" w:hAnsi="黑体" w:eastAsia="黑体"/>
          <w:sz w:val="36"/>
          <w:szCs w:val="36"/>
        </w:rPr>
      </w:pPr>
      <w:r>
        <w:rPr>
          <w:rFonts w:hint="eastAsia" w:ascii="黑体" w:hAnsi="黑体" w:eastAsia="黑体"/>
          <w:sz w:val="36"/>
          <w:szCs w:val="36"/>
        </w:rPr>
        <w:t>第一部分 部门概况</w:t>
      </w:r>
    </w:p>
    <w:p>
      <w:pPr>
        <w:jc w:val="center"/>
        <w:rPr>
          <w:rFonts w:ascii="黑体" w:hAnsi="黑体" w:eastAsia="黑体"/>
          <w:sz w:val="36"/>
          <w:szCs w:val="36"/>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widowControl/>
        <w:spacing w:line="20" w:lineRule="atLeast"/>
        <w:ind w:firstLine="420"/>
        <w:jc w:val="left"/>
        <w:rPr>
          <w:rFonts w:ascii="宋体" w:hAnsi="宋体" w:eastAsia="宋体" w:cs="宋体"/>
          <w:sz w:val="18"/>
          <w:szCs w:val="18"/>
        </w:rPr>
      </w:pPr>
      <w:r>
        <w:rPr>
          <w:rFonts w:hint="eastAsia" w:ascii="仿宋" w:hAnsi="仿宋" w:eastAsia="仿宋" w:cs="仿宋"/>
          <w:kern w:val="0"/>
          <w:sz w:val="32"/>
          <w:szCs w:val="32"/>
        </w:rPr>
        <w:t>连城县档案馆是县委、县政府负责全县档案事业行政管理和全县各乡（镇）、县直机关、社会团体及其所属单位的档案保管和利用工作的职能机构。主要职责是：</w:t>
      </w:r>
    </w:p>
    <w:p>
      <w:pPr>
        <w:widowControl/>
        <w:spacing w:line="20" w:lineRule="atLeast"/>
        <w:ind w:firstLine="420"/>
        <w:jc w:val="left"/>
        <w:rPr>
          <w:rFonts w:ascii="宋体" w:hAnsi="宋体" w:eastAsia="宋体" w:cs="宋体"/>
          <w:sz w:val="18"/>
          <w:szCs w:val="18"/>
        </w:rPr>
      </w:pPr>
      <w:r>
        <w:rPr>
          <w:rFonts w:hint="eastAsia" w:ascii="仿宋" w:hAnsi="仿宋" w:eastAsia="仿宋" w:cs="仿宋"/>
          <w:kern w:val="0"/>
          <w:sz w:val="32"/>
          <w:szCs w:val="32"/>
        </w:rPr>
        <w:t> 1.贯彻落实党中央、国务院，省委、省政府，市委、市政府以及县委、县政府有关档案工作方针政策，配合档案行政管理部门做好档案公共事务工作。</w:t>
      </w:r>
    </w:p>
    <w:p>
      <w:pPr>
        <w:widowControl/>
        <w:spacing w:line="20" w:lineRule="atLeast"/>
        <w:ind w:firstLine="420"/>
        <w:jc w:val="left"/>
        <w:rPr>
          <w:rFonts w:ascii="宋体" w:hAnsi="宋体" w:eastAsia="宋体" w:cs="宋体"/>
          <w:sz w:val="18"/>
          <w:szCs w:val="18"/>
        </w:rPr>
      </w:pPr>
      <w:r>
        <w:rPr>
          <w:rFonts w:hint="eastAsia" w:ascii="仿宋" w:hAnsi="仿宋" w:eastAsia="仿宋" w:cs="仿宋"/>
          <w:kern w:val="0"/>
          <w:sz w:val="32"/>
          <w:szCs w:val="32"/>
        </w:rPr>
        <w:t> 2. 配合档案行政管理部门做好全县档案事业发展规划编制、档案规范与标准研究制定等具体工作。</w:t>
      </w:r>
    </w:p>
    <w:p>
      <w:pPr>
        <w:widowControl/>
        <w:spacing w:line="20" w:lineRule="atLeast"/>
        <w:ind w:firstLine="420"/>
        <w:jc w:val="left"/>
        <w:rPr>
          <w:rFonts w:ascii="仿宋" w:hAnsi="仿宋" w:eastAsia="仿宋" w:cs="仿宋"/>
          <w:kern w:val="0"/>
          <w:sz w:val="32"/>
          <w:szCs w:val="32"/>
        </w:rPr>
      </w:pPr>
      <w:r>
        <w:rPr>
          <w:rFonts w:hint="eastAsia" w:ascii="仿宋" w:hAnsi="仿宋" w:eastAsia="仿宋" w:cs="仿宋"/>
          <w:kern w:val="0"/>
          <w:sz w:val="32"/>
          <w:szCs w:val="32"/>
        </w:rPr>
        <w:t> 3. 配合档案行政管理部门做好全县立档单位规范化的事务性工作。承担全县机关、团体、企事业单位和其他组织形式的对国家和社会有保存价值的各种载体档案资料的接收、征集工作，承担档案整理编目与价值鉴定工作。</w:t>
      </w:r>
    </w:p>
    <w:p>
      <w:pPr>
        <w:widowControl/>
        <w:spacing w:line="20" w:lineRule="atLeast"/>
        <w:ind w:firstLine="420"/>
        <w:jc w:val="left"/>
        <w:rPr>
          <w:rFonts w:ascii="仿宋" w:hAnsi="仿宋" w:eastAsia="仿宋" w:cs="仿宋"/>
          <w:kern w:val="0"/>
          <w:sz w:val="32"/>
          <w:szCs w:val="32"/>
        </w:rPr>
      </w:pPr>
      <w:r>
        <w:rPr>
          <w:rFonts w:hint="eastAsia" w:ascii="仿宋" w:hAnsi="仿宋" w:eastAsia="仿宋" w:cs="仿宋"/>
          <w:kern w:val="0"/>
          <w:sz w:val="32"/>
          <w:szCs w:val="32"/>
        </w:rPr>
        <w:t> 4. 配合档案行政管理部门做好前线档案文献遗产的抢救保护、宣传推广与组织申报，以及全县重点档案保护、开发项目的组织、评估、申报等事务性工作。承担馆藏档案资料的保管、保护、保密、抢救、修复及解密、划控和开放工作。</w:t>
      </w:r>
    </w:p>
    <w:p>
      <w:pPr>
        <w:widowControl/>
        <w:spacing w:line="20" w:lineRule="atLeast"/>
        <w:ind w:firstLine="420"/>
        <w:jc w:val="left"/>
        <w:rPr>
          <w:rFonts w:ascii="宋体" w:hAnsi="宋体" w:eastAsia="宋体" w:cs="宋体"/>
          <w:sz w:val="18"/>
          <w:szCs w:val="18"/>
        </w:rPr>
      </w:pPr>
      <w:r>
        <w:rPr>
          <w:rFonts w:hint="eastAsia" w:ascii="仿宋" w:hAnsi="仿宋" w:eastAsia="仿宋" w:cs="仿宋"/>
          <w:kern w:val="0"/>
          <w:sz w:val="32"/>
          <w:szCs w:val="32"/>
        </w:rPr>
        <w:t> 5.承担档案利用服务和档案资料研究、开发、编纂、公布、出版工作。承担档案展览宣传、社会教育及档案学术、档案文化对外合作交流工作，推进档案馆人才队伍建设。做好档案爱国主义教育基地管理的日常事务性工作。</w:t>
      </w:r>
    </w:p>
    <w:p>
      <w:pPr>
        <w:widowControl/>
        <w:spacing w:line="20" w:lineRule="atLeast"/>
        <w:ind w:firstLine="420"/>
        <w:jc w:val="left"/>
        <w:rPr>
          <w:rFonts w:ascii="宋体" w:hAnsi="宋体" w:eastAsia="宋体" w:cs="宋体"/>
          <w:sz w:val="18"/>
          <w:szCs w:val="18"/>
        </w:rPr>
      </w:pPr>
      <w:r>
        <w:rPr>
          <w:rFonts w:hint="eastAsia" w:ascii="仿宋" w:hAnsi="仿宋" w:eastAsia="仿宋" w:cs="仿宋"/>
          <w:kern w:val="0"/>
          <w:sz w:val="32"/>
          <w:szCs w:val="32"/>
        </w:rPr>
        <w:t> 6.承担政府公开信息接收、整理、保管、查阅工作。</w:t>
      </w:r>
    </w:p>
    <w:p>
      <w:pPr>
        <w:widowControl/>
        <w:spacing w:line="20" w:lineRule="atLeast"/>
        <w:ind w:firstLine="420"/>
        <w:jc w:val="left"/>
        <w:rPr>
          <w:rFonts w:ascii="仿宋" w:hAnsi="仿宋" w:eastAsia="仿宋" w:cs="仿宋"/>
          <w:kern w:val="0"/>
          <w:sz w:val="32"/>
          <w:szCs w:val="32"/>
        </w:rPr>
      </w:pPr>
      <w:r>
        <w:rPr>
          <w:rFonts w:hint="eastAsia" w:ascii="仿宋" w:hAnsi="仿宋" w:eastAsia="仿宋" w:cs="仿宋"/>
          <w:kern w:val="0"/>
          <w:sz w:val="32"/>
          <w:szCs w:val="32"/>
        </w:rPr>
        <w:t> 7.配合做好全县档案信息化、推进数字档案共享等事务性工作，承担档案馆新媒体及网站建设与维护工作。承担馆藏档案数字化及数字档案保存、管理、交互、共享工作。承担啊档案异地异质备份和灾备工作。</w:t>
      </w:r>
    </w:p>
    <w:p>
      <w:pPr>
        <w:widowControl/>
        <w:spacing w:line="20" w:lineRule="atLeast"/>
        <w:ind w:firstLine="420"/>
        <w:jc w:val="left"/>
        <w:rPr>
          <w:rFonts w:ascii="宋体" w:hAnsi="宋体" w:eastAsia="宋体" w:cs="宋体"/>
          <w:sz w:val="18"/>
          <w:szCs w:val="18"/>
        </w:rPr>
      </w:pPr>
      <w:r>
        <w:rPr>
          <w:rFonts w:hint="eastAsia" w:ascii="仿宋" w:hAnsi="仿宋" w:eastAsia="仿宋" w:cs="仿宋"/>
          <w:kern w:val="0"/>
          <w:sz w:val="32"/>
          <w:szCs w:val="32"/>
        </w:rPr>
        <w:t xml:space="preserve">  8.完成县委、县政府交办的其他任务。</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widowControl/>
        <w:spacing w:line="20" w:lineRule="atLeast"/>
        <w:ind w:firstLine="420"/>
        <w:jc w:val="left"/>
        <w:rPr>
          <w:rFonts w:ascii="宋体" w:hAnsi="宋体" w:eastAsia="宋体" w:cs="宋体"/>
          <w:sz w:val="18"/>
          <w:szCs w:val="18"/>
        </w:rPr>
      </w:pPr>
      <w:r>
        <w:rPr>
          <w:rFonts w:hint="eastAsia" w:ascii="仿宋" w:hAnsi="仿宋" w:eastAsia="仿宋" w:cs="仿宋_GB2312"/>
          <w:sz w:val="32"/>
          <w:szCs w:val="32"/>
        </w:rPr>
        <w:t>从决算单位构成看，连</w:t>
      </w:r>
      <w:r>
        <w:rPr>
          <w:rFonts w:hint="eastAsia" w:ascii="仿宋" w:hAnsi="仿宋" w:eastAsia="仿宋" w:cs="仿宋"/>
          <w:kern w:val="0"/>
          <w:sz w:val="32"/>
          <w:szCs w:val="32"/>
        </w:rPr>
        <w:t>城县档案馆共设3个职能股即综合股、信息化与编研股、保管利用股，其中列入2019部门决算编制范围的单位详细情况见下表：</w:t>
      </w:r>
    </w:p>
    <w:tbl>
      <w:tblPr>
        <w:tblStyle w:val="6"/>
        <w:tblW w:w="884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2448"/>
        <w:gridCol w:w="2130"/>
        <w:gridCol w:w="2131"/>
        <w:gridCol w:w="213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48" w:hRule="atLeast"/>
        </w:trPr>
        <w:tc>
          <w:tcPr>
            <w:tcW w:w="2448" w:type="dxa"/>
            <w:tcBorders>
              <w:top w:val="single" w:color="auto" w:sz="8" w:space="0"/>
              <w:left w:val="single" w:color="auto" w:sz="8" w:space="0"/>
              <w:bottom w:val="single" w:color="auto" w:sz="8" w:space="0"/>
              <w:right w:val="single" w:color="auto" w:sz="8" w:space="0"/>
            </w:tcBorders>
            <w:tcMar>
              <w:left w:w="108" w:type="dxa"/>
              <w:right w:w="108" w:type="dxa"/>
            </w:tcMar>
            <w:vAlign w:val="top"/>
          </w:tcPr>
          <w:p>
            <w:pPr>
              <w:widowControl/>
              <w:spacing w:line="20" w:lineRule="atLeast"/>
              <w:ind w:left="180" w:hanging="180"/>
              <w:jc w:val="center"/>
              <w:rPr>
                <w:rFonts w:ascii="宋体" w:hAnsi="宋体" w:eastAsia="宋体" w:cs="宋体"/>
                <w:sz w:val="18"/>
                <w:szCs w:val="18"/>
              </w:rPr>
            </w:pPr>
            <w:r>
              <w:rPr>
                <w:rFonts w:hint="eastAsia" w:ascii="仿宋" w:hAnsi="仿宋" w:eastAsia="仿宋" w:cs="仿宋"/>
                <w:b/>
                <w:kern w:val="0"/>
                <w:sz w:val="32"/>
                <w:szCs w:val="32"/>
              </w:rPr>
              <w:t>单位名称</w:t>
            </w:r>
          </w:p>
        </w:tc>
        <w:tc>
          <w:tcPr>
            <w:tcW w:w="2130" w:type="dxa"/>
            <w:tcBorders>
              <w:top w:val="single" w:color="auto" w:sz="8" w:space="0"/>
              <w:left w:val="nil"/>
              <w:bottom w:val="single" w:color="auto" w:sz="8" w:space="0"/>
              <w:right w:val="single" w:color="auto" w:sz="8" w:space="0"/>
            </w:tcBorders>
            <w:tcMar>
              <w:left w:w="108" w:type="dxa"/>
              <w:right w:w="108" w:type="dxa"/>
            </w:tcMar>
            <w:vAlign w:val="top"/>
          </w:tcPr>
          <w:p>
            <w:pPr>
              <w:widowControl/>
              <w:spacing w:line="20" w:lineRule="atLeast"/>
              <w:ind w:firstLine="420"/>
              <w:jc w:val="center"/>
              <w:rPr>
                <w:rFonts w:ascii="宋体" w:hAnsi="宋体" w:eastAsia="宋体" w:cs="宋体"/>
                <w:sz w:val="18"/>
                <w:szCs w:val="18"/>
              </w:rPr>
            </w:pPr>
            <w:r>
              <w:rPr>
                <w:rFonts w:hint="eastAsia" w:ascii="仿宋" w:hAnsi="仿宋" w:eastAsia="仿宋" w:cs="仿宋"/>
                <w:b/>
                <w:kern w:val="0"/>
                <w:sz w:val="32"/>
                <w:szCs w:val="32"/>
              </w:rPr>
              <w:t>经费性质</w:t>
            </w:r>
          </w:p>
        </w:tc>
        <w:tc>
          <w:tcPr>
            <w:tcW w:w="2131" w:type="dxa"/>
            <w:tcBorders>
              <w:top w:val="single" w:color="auto" w:sz="8" w:space="0"/>
              <w:left w:val="nil"/>
              <w:bottom w:val="single" w:color="auto" w:sz="8" w:space="0"/>
              <w:right w:val="single" w:color="auto" w:sz="8" w:space="0"/>
            </w:tcBorders>
            <w:tcMar>
              <w:left w:w="108" w:type="dxa"/>
              <w:right w:w="108" w:type="dxa"/>
            </w:tcMar>
            <w:vAlign w:val="top"/>
          </w:tcPr>
          <w:p>
            <w:pPr>
              <w:widowControl/>
              <w:spacing w:line="20" w:lineRule="atLeast"/>
              <w:rPr>
                <w:rFonts w:ascii="宋体" w:hAnsi="宋体" w:eastAsia="宋体" w:cs="宋体"/>
                <w:sz w:val="18"/>
                <w:szCs w:val="18"/>
              </w:rPr>
            </w:pPr>
            <w:r>
              <w:rPr>
                <w:rFonts w:hint="eastAsia" w:ascii="仿宋" w:hAnsi="仿宋" w:eastAsia="仿宋" w:cs="仿宋"/>
                <w:b/>
                <w:kern w:val="0"/>
                <w:sz w:val="32"/>
                <w:szCs w:val="32"/>
              </w:rPr>
              <w:t>人员编制数</w:t>
            </w:r>
          </w:p>
        </w:tc>
        <w:tc>
          <w:tcPr>
            <w:tcW w:w="2131" w:type="dxa"/>
            <w:tcBorders>
              <w:top w:val="single" w:color="auto" w:sz="8" w:space="0"/>
              <w:left w:val="nil"/>
              <w:bottom w:val="single" w:color="auto" w:sz="8" w:space="0"/>
              <w:right w:val="single" w:color="auto" w:sz="8" w:space="0"/>
            </w:tcBorders>
            <w:tcMar>
              <w:left w:w="108" w:type="dxa"/>
              <w:right w:w="108" w:type="dxa"/>
            </w:tcMar>
            <w:vAlign w:val="top"/>
          </w:tcPr>
          <w:p>
            <w:pPr>
              <w:widowControl/>
              <w:spacing w:line="20" w:lineRule="atLeast"/>
              <w:ind w:firstLine="420"/>
              <w:jc w:val="center"/>
              <w:rPr>
                <w:rFonts w:ascii="宋体" w:hAnsi="宋体" w:eastAsia="宋体" w:cs="宋体"/>
                <w:sz w:val="18"/>
                <w:szCs w:val="18"/>
              </w:rPr>
            </w:pPr>
            <w:r>
              <w:rPr>
                <w:rFonts w:hint="eastAsia" w:ascii="仿宋" w:hAnsi="仿宋" w:eastAsia="仿宋" w:cs="仿宋"/>
                <w:b/>
                <w:kern w:val="0"/>
                <w:sz w:val="32"/>
                <w:szCs w:val="32"/>
              </w:rPr>
              <w:t>在职人数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103" w:hRule="atLeast"/>
        </w:trPr>
        <w:tc>
          <w:tcPr>
            <w:tcW w:w="2448" w:type="dxa"/>
            <w:tcBorders>
              <w:top w:val="single" w:color="auto" w:sz="8" w:space="0"/>
              <w:left w:val="single" w:color="auto" w:sz="8" w:space="0"/>
              <w:bottom w:val="single" w:color="auto" w:sz="8" w:space="0"/>
              <w:right w:val="single" w:color="auto" w:sz="8" w:space="0"/>
            </w:tcBorders>
            <w:tcMar>
              <w:left w:w="108" w:type="dxa"/>
              <w:right w:w="108" w:type="dxa"/>
            </w:tcMar>
            <w:vAlign w:val="top"/>
          </w:tcPr>
          <w:p>
            <w:pPr>
              <w:widowControl/>
              <w:spacing w:line="20" w:lineRule="atLeast"/>
              <w:rPr>
                <w:rFonts w:ascii="宋体" w:hAnsi="宋体" w:eastAsia="宋体" w:cs="宋体"/>
                <w:sz w:val="18"/>
                <w:szCs w:val="18"/>
              </w:rPr>
            </w:pPr>
            <w:r>
              <w:rPr>
                <w:rFonts w:hint="eastAsia" w:ascii="仿宋" w:hAnsi="仿宋" w:eastAsia="仿宋" w:cs="仿宋"/>
                <w:kern w:val="0"/>
                <w:sz w:val="32"/>
                <w:szCs w:val="32"/>
              </w:rPr>
              <w:t>连城县档案馆</w:t>
            </w:r>
          </w:p>
        </w:tc>
        <w:tc>
          <w:tcPr>
            <w:tcW w:w="2130" w:type="dxa"/>
            <w:tcBorders>
              <w:top w:val="single" w:color="auto" w:sz="8" w:space="0"/>
              <w:left w:val="single" w:color="auto" w:sz="8" w:space="0"/>
              <w:bottom w:val="single" w:color="auto" w:sz="8" w:space="0"/>
              <w:right w:val="single" w:color="auto" w:sz="8" w:space="0"/>
            </w:tcBorders>
            <w:tcMar>
              <w:left w:w="108" w:type="dxa"/>
              <w:right w:w="108" w:type="dxa"/>
            </w:tcMar>
            <w:vAlign w:val="top"/>
          </w:tcPr>
          <w:p>
            <w:pPr>
              <w:widowControl/>
              <w:spacing w:line="20" w:lineRule="atLeast"/>
              <w:ind w:firstLine="420"/>
              <w:jc w:val="center"/>
              <w:rPr>
                <w:rFonts w:ascii="宋体" w:hAnsi="宋体" w:eastAsia="宋体" w:cs="宋体"/>
                <w:sz w:val="18"/>
                <w:szCs w:val="18"/>
              </w:rPr>
            </w:pPr>
            <w:r>
              <w:rPr>
                <w:rFonts w:hint="eastAsia" w:ascii="仿宋" w:hAnsi="仿宋" w:eastAsia="仿宋" w:cs="仿宋"/>
                <w:kern w:val="0"/>
                <w:sz w:val="32"/>
                <w:szCs w:val="32"/>
              </w:rPr>
              <w:t>财政核拨</w:t>
            </w:r>
          </w:p>
        </w:tc>
        <w:tc>
          <w:tcPr>
            <w:tcW w:w="2131" w:type="dxa"/>
            <w:tcBorders>
              <w:top w:val="single" w:color="auto" w:sz="8" w:space="0"/>
              <w:left w:val="single" w:color="auto" w:sz="8" w:space="0"/>
              <w:bottom w:val="single" w:color="auto" w:sz="8" w:space="0"/>
              <w:right w:val="single" w:color="auto" w:sz="8" w:space="0"/>
            </w:tcBorders>
            <w:tcMar>
              <w:left w:w="108" w:type="dxa"/>
              <w:right w:w="108" w:type="dxa"/>
            </w:tcMar>
            <w:vAlign w:val="top"/>
          </w:tcPr>
          <w:p>
            <w:pPr>
              <w:widowControl/>
              <w:spacing w:line="20" w:lineRule="atLeast"/>
              <w:ind w:firstLine="420"/>
              <w:jc w:val="center"/>
              <w:rPr>
                <w:rFonts w:ascii="宋体" w:hAnsi="宋体" w:eastAsia="宋体" w:cs="宋体"/>
                <w:sz w:val="18"/>
                <w:szCs w:val="18"/>
              </w:rPr>
            </w:pPr>
            <w:r>
              <w:rPr>
                <w:rFonts w:hint="eastAsia" w:ascii="仿宋" w:hAnsi="仿宋" w:eastAsia="仿宋" w:cs="仿宋"/>
                <w:kern w:val="0"/>
                <w:sz w:val="32"/>
                <w:szCs w:val="32"/>
              </w:rPr>
              <w:t>8</w:t>
            </w:r>
          </w:p>
        </w:tc>
        <w:tc>
          <w:tcPr>
            <w:tcW w:w="2131" w:type="dxa"/>
            <w:tcBorders>
              <w:top w:val="single" w:color="auto" w:sz="8" w:space="0"/>
              <w:left w:val="single" w:color="auto" w:sz="8" w:space="0"/>
              <w:bottom w:val="single" w:color="auto" w:sz="8" w:space="0"/>
              <w:right w:val="single" w:color="auto" w:sz="8" w:space="0"/>
            </w:tcBorders>
            <w:tcMar>
              <w:left w:w="108" w:type="dxa"/>
              <w:right w:w="108" w:type="dxa"/>
            </w:tcMar>
            <w:vAlign w:val="top"/>
          </w:tcPr>
          <w:p>
            <w:pPr>
              <w:widowControl/>
              <w:spacing w:line="20" w:lineRule="atLeast"/>
              <w:ind w:firstLine="420"/>
              <w:jc w:val="center"/>
              <w:rPr>
                <w:rFonts w:ascii="宋体" w:hAnsi="宋体" w:eastAsia="宋体" w:cs="宋体"/>
                <w:sz w:val="18"/>
                <w:szCs w:val="18"/>
              </w:rPr>
            </w:pPr>
            <w:r>
              <w:rPr>
                <w:rFonts w:hint="eastAsia" w:ascii="仿宋" w:hAnsi="仿宋" w:eastAsia="仿宋" w:cs="仿宋"/>
                <w:kern w:val="0"/>
                <w:sz w:val="32"/>
                <w:szCs w:val="32"/>
              </w:rPr>
              <w:t>8</w:t>
            </w:r>
          </w:p>
        </w:tc>
      </w:tr>
    </w:tbl>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2019年，连城县档案馆主要任务是：扎实做好基础工作，不断提升档案业务水平。围绕上述任务，重点完成了以下工作：</w:t>
      </w:r>
    </w:p>
    <w:p>
      <w:pPr>
        <w:spacing w:line="560" w:lineRule="exact"/>
        <w:ind w:firstLine="643" w:firstLineChars="200"/>
        <w:rPr>
          <w:rFonts w:ascii="仿宋" w:hAnsi="仿宋" w:eastAsia="仿宋" w:cs="宋体"/>
          <w:b/>
          <w:sz w:val="32"/>
          <w:szCs w:val="32"/>
          <w:shd w:val="clear" w:color="auto" w:fill="FFFFFF"/>
        </w:rPr>
      </w:pPr>
      <w:r>
        <w:rPr>
          <w:rFonts w:hint="eastAsia" w:ascii="仿宋" w:hAnsi="仿宋" w:eastAsia="仿宋" w:cs="宋体"/>
          <w:b/>
          <w:sz w:val="32"/>
          <w:szCs w:val="32"/>
          <w:shd w:val="clear" w:color="auto" w:fill="FFFFFF"/>
        </w:rPr>
        <w:t>（一）转变职能，着力推进机构改革。</w:t>
      </w:r>
    </w:p>
    <w:p>
      <w:pPr>
        <w:spacing w:line="560" w:lineRule="exact"/>
        <w:ind w:firstLine="640" w:firstLineChars="200"/>
        <w:rPr>
          <w:rFonts w:ascii="仿宋" w:hAnsi="仿宋" w:eastAsia="仿宋" w:cs="宋体"/>
          <w:b/>
          <w:sz w:val="32"/>
          <w:szCs w:val="32"/>
          <w:shd w:val="clear" w:color="auto" w:fill="FFFFFF"/>
        </w:rPr>
      </w:pPr>
      <w:r>
        <w:rPr>
          <w:rFonts w:hint="eastAsia" w:ascii="仿宋" w:hAnsi="仿宋" w:eastAsia="仿宋"/>
          <w:sz w:val="32"/>
          <w:szCs w:val="32"/>
        </w:rPr>
        <w:t>根据我县机构改革实施方案，原县档案局（馆）的行政职责并入县委办公室，县档案馆为县委直属事业单位，履行全县档案的接收、管理和利用等公共服务职能。档案工作是党和国家各项事业发展的一项基础性支撑性工作，厘清新形势下档案馆新的使命任务和各内设机构职能职责，更好发挥档案馆功能，事关档案事业未来发展。</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（二）不忘初心，着力践行职责使命。</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以饱满的政治热情积极投身“不忘初心、牢记使命”主题教育，认真贯彻落实中央、省委、市委和县委有关部署，按照“守初心、担使命、找差距、抓落实”的总要求，在县委第八巡回指导组的精心指导下，严格将“学习教育、调查研究、检视问题、整改落实”贯穿始终，切实做到抓思想认识到位、抓检视问题到位、抓整改落实到位、抓组织领导到位，保证了主题教育扎实有序开展。</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（三）耐心细致，着力完善档案服务功能。</w:t>
      </w:r>
    </w:p>
    <w:p>
      <w:pPr>
        <w:spacing w:line="560" w:lineRule="exact"/>
        <w:ind w:firstLine="643" w:firstLineChars="200"/>
        <w:rPr>
          <w:rFonts w:ascii="仿宋" w:hAnsi="仿宋" w:eastAsia="仿宋"/>
          <w:b/>
          <w:sz w:val="32"/>
          <w:szCs w:val="32"/>
        </w:rPr>
      </w:pPr>
      <w:r>
        <w:rPr>
          <w:rFonts w:hint="eastAsia" w:ascii="仿宋" w:hAnsi="仿宋" w:eastAsia="仿宋"/>
          <w:b/>
          <w:bCs/>
          <w:sz w:val="32"/>
          <w:szCs w:val="32"/>
        </w:rPr>
        <w:t>1、认真细致，积极做好档案服务工作。</w:t>
      </w:r>
      <w:r>
        <w:rPr>
          <w:rFonts w:hint="eastAsia" w:ascii="仿宋" w:hAnsi="仿宋" w:eastAsia="仿宋"/>
          <w:b/>
          <w:sz w:val="32"/>
          <w:szCs w:val="32"/>
        </w:rPr>
        <w:t>一是做好档案业务指导。</w:t>
      </w:r>
      <w:r>
        <w:rPr>
          <w:rFonts w:hint="eastAsia" w:ascii="仿宋" w:hAnsi="仿宋" w:eastAsia="仿宋"/>
          <w:sz w:val="32"/>
          <w:szCs w:val="32"/>
        </w:rPr>
        <w:t>针对单位档案服务工作需求，对县纪检委、自然资源局、环保局、烟草局、新泉镇、塘前乡等文书档案的管理工作进行指导。</w:t>
      </w:r>
      <w:r>
        <w:rPr>
          <w:rFonts w:hint="eastAsia" w:ascii="仿宋" w:hAnsi="仿宋" w:eastAsia="仿宋"/>
          <w:b/>
          <w:sz w:val="32"/>
          <w:szCs w:val="32"/>
        </w:rPr>
        <w:t>二是做好档案利用工作。</w:t>
      </w:r>
      <w:r>
        <w:rPr>
          <w:rFonts w:hint="eastAsia" w:ascii="仿宋" w:hAnsi="仿宋" w:eastAsia="仿宋"/>
          <w:sz w:val="32"/>
          <w:szCs w:val="32"/>
        </w:rPr>
        <w:t>2019年共接待查阅档案资料2703人次，接待利用档案资料3128卷（册）、2028件。接待查阅公开信息58人次，利用现行公开文件98份。为领导决策、群众办事、落实政策、编史修志、工作查考提供了优质服务，受到了利用者的好评</w:t>
      </w:r>
      <w:r>
        <w:rPr>
          <w:rFonts w:hint="eastAsia" w:ascii="仿宋" w:hAnsi="仿宋" w:eastAsia="仿宋"/>
          <w:b/>
          <w:sz w:val="32"/>
          <w:szCs w:val="32"/>
        </w:rPr>
        <w:t>。三是认真抓好档案接收、保管和重点档案抢救工作。</w:t>
      </w:r>
      <w:r>
        <w:rPr>
          <w:rFonts w:hint="eastAsia" w:ascii="仿宋" w:hAnsi="仿宋" w:eastAsia="仿宋"/>
          <w:sz w:val="32"/>
          <w:szCs w:val="32"/>
        </w:rPr>
        <w:t>今年以来共接收县人大、住建局、安监局、政府法制办等4个单位的文书档案510卷、3784件，接收县民政局、发改局、朋口镇等37个单位现行公开文件共1402份，抢救民国重点档案476卷。</w:t>
      </w:r>
    </w:p>
    <w:p>
      <w:pPr>
        <w:spacing w:line="560" w:lineRule="exact"/>
        <w:ind w:firstLine="643" w:firstLineChars="200"/>
        <w:rPr>
          <w:rFonts w:ascii="仿宋" w:hAnsi="仿宋" w:eastAsia="仿宋"/>
          <w:bCs/>
          <w:sz w:val="32"/>
          <w:szCs w:val="32"/>
        </w:rPr>
      </w:pPr>
      <w:r>
        <w:rPr>
          <w:rFonts w:hint="eastAsia" w:ascii="仿宋" w:hAnsi="仿宋" w:eastAsia="仿宋"/>
          <w:b/>
          <w:bCs/>
          <w:sz w:val="32"/>
          <w:szCs w:val="32"/>
        </w:rPr>
        <w:t>2、加强宣传，提高档案“八进”实效。</w:t>
      </w:r>
      <w:r>
        <w:rPr>
          <w:rFonts w:hint="eastAsia" w:ascii="仿宋" w:hAnsi="仿宋" w:eastAsia="仿宋"/>
          <w:sz w:val="32"/>
          <w:szCs w:val="32"/>
        </w:rPr>
        <w:t>抓好法制宣传，增强档案法制观念，今年6月9日“国际档案日”，我馆全体干部上北大中路开展了档案法制宣传。6月10日到东街社区、南街社区、栗园社区宣传档案法律法规及档案查阅相关知识。悬挂宣传标语4条，向群众发放《中华人民共和国档案法》、《福建省档案条例》、《档案法实施办法》等宣传资料500余份，并现场提供了法律法规、档案业务、档案查阅等方面内容的咨询，得到了群众的普遍欢迎。结合“不忘初心、牢记使命”主题教育</w:t>
      </w:r>
      <w:r>
        <w:rPr>
          <w:rFonts w:hint="eastAsia" w:ascii="仿宋" w:hAnsi="仿宋" w:eastAsia="仿宋" w:cs="宋体"/>
          <w:sz w:val="32"/>
          <w:szCs w:val="32"/>
        </w:rPr>
        <w:t>，我馆还深入挂钩姚坊村召开服务对象座谈会，广泛听取村民的意见和建议，并举办了一场档案法律法规及民生档案知识的普及宣传活动。</w:t>
      </w:r>
    </w:p>
    <w:p>
      <w:pPr>
        <w:spacing w:line="560" w:lineRule="exact"/>
        <w:ind w:firstLine="643" w:firstLineChars="200"/>
        <w:rPr>
          <w:rFonts w:ascii="仿宋" w:hAnsi="仿宋" w:eastAsia="仿宋"/>
          <w:bCs/>
          <w:sz w:val="32"/>
          <w:szCs w:val="32"/>
        </w:rPr>
      </w:pPr>
      <w:r>
        <w:rPr>
          <w:rFonts w:hint="eastAsia" w:ascii="仿宋" w:hAnsi="仿宋" w:eastAsia="仿宋"/>
          <w:b/>
          <w:sz w:val="32"/>
          <w:szCs w:val="32"/>
        </w:rPr>
        <w:t>（四）安全第一，着力提高安防管理水平。</w:t>
      </w:r>
    </w:p>
    <w:p>
      <w:pPr>
        <w:spacing w:line="560" w:lineRule="exact"/>
        <w:ind w:firstLine="630" w:firstLineChars="196"/>
        <w:rPr>
          <w:rFonts w:ascii="仿宋" w:hAnsi="仿宋" w:eastAsia="仿宋" w:cs="宋体"/>
          <w:sz w:val="32"/>
          <w:szCs w:val="32"/>
        </w:rPr>
      </w:pPr>
      <w:r>
        <w:rPr>
          <w:rFonts w:hint="eastAsia" w:ascii="仿宋" w:hAnsi="仿宋" w:eastAsia="仿宋" w:cs="宋体"/>
          <w:b/>
          <w:sz w:val="32"/>
          <w:szCs w:val="32"/>
        </w:rPr>
        <w:t>一是加强领导。</w:t>
      </w:r>
      <w:r>
        <w:rPr>
          <w:rFonts w:hint="eastAsia" w:ascii="仿宋" w:hAnsi="仿宋" w:eastAsia="仿宋" w:cs="宋体"/>
          <w:sz w:val="32"/>
          <w:szCs w:val="32"/>
        </w:rPr>
        <w:t>加强领导，建立“一把手”负总责，分管领导、相关股、业务干部各司其职的运行机制，坚持“以防为主、防治结合、确保安全”的原则，扎实抓好档案安全管理工作，将档案安全工作职责分解落实到具体人员。</w:t>
      </w:r>
      <w:r>
        <w:rPr>
          <w:rFonts w:hint="eastAsia" w:ascii="仿宋" w:hAnsi="仿宋" w:eastAsia="仿宋" w:cs="宋体"/>
          <w:b/>
          <w:sz w:val="32"/>
          <w:szCs w:val="32"/>
        </w:rPr>
        <w:t>二是强化教育。</w:t>
      </w:r>
      <w:r>
        <w:rPr>
          <w:rFonts w:hint="eastAsia" w:ascii="仿宋" w:hAnsi="仿宋" w:eastAsia="仿宋" w:cs="宋体"/>
          <w:sz w:val="32"/>
          <w:szCs w:val="32"/>
        </w:rPr>
        <w:t>组织全体干部认真学习《消防法》、《福建省档案安全管理工作规范》等相关文件精神，增强干部的安全防范意识，做到警钟长鸣。</w:t>
      </w:r>
      <w:r>
        <w:rPr>
          <w:rFonts w:hint="eastAsia" w:ascii="仿宋" w:hAnsi="仿宋" w:eastAsia="仿宋" w:cs="宋体"/>
          <w:b/>
          <w:sz w:val="32"/>
          <w:szCs w:val="32"/>
        </w:rPr>
        <w:t>三是完善制度。</w:t>
      </w:r>
      <w:r>
        <w:rPr>
          <w:rFonts w:hint="eastAsia" w:ascii="仿宋" w:hAnsi="仿宋" w:eastAsia="仿宋" w:cs="宋体"/>
          <w:sz w:val="32"/>
          <w:szCs w:val="32"/>
        </w:rPr>
        <w:t>制定各类应急处置预案，建立健全值班、出入库登记等安全管理制度；积极争取资金，改善安全设施条件；重视对涉密计算机的安全管理，在抓好档案实体安全的同时，确保档案信息系统安全。</w:t>
      </w:r>
      <w:r>
        <w:rPr>
          <w:rFonts w:hint="eastAsia" w:ascii="仿宋" w:hAnsi="仿宋" w:eastAsia="仿宋" w:cs="宋体"/>
          <w:b/>
          <w:sz w:val="32"/>
          <w:szCs w:val="32"/>
        </w:rPr>
        <w:t>四是经常演练。</w:t>
      </w:r>
      <w:r>
        <w:rPr>
          <w:rFonts w:hint="eastAsia" w:ascii="仿宋" w:hAnsi="仿宋" w:eastAsia="仿宋" w:cs="宋体"/>
          <w:sz w:val="32"/>
          <w:szCs w:val="32"/>
        </w:rPr>
        <w:t>认真贯彻“微型消防站”建设要求，按消防主管部门要求组织干部职工参加消防培训，按规程定期开展演练，达到“一分钟响应、三分钟到位、五分钟处置”要求。</w:t>
      </w:r>
      <w:r>
        <w:rPr>
          <w:rFonts w:hint="eastAsia" w:ascii="仿宋" w:hAnsi="仿宋" w:eastAsia="仿宋" w:cs="宋体"/>
          <w:b/>
          <w:sz w:val="32"/>
          <w:szCs w:val="32"/>
        </w:rPr>
        <w:t>五是每日巡查。</w:t>
      </w:r>
      <w:r>
        <w:rPr>
          <w:rFonts w:hint="eastAsia" w:ascii="仿宋" w:hAnsi="仿宋" w:eastAsia="仿宋" w:cs="宋体"/>
          <w:sz w:val="32"/>
          <w:szCs w:val="32"/>
        </w:rPr>
        <w:t>认真做好连城县消防救援大队部署的“防火墙”工程工作。每日一检查，每周一巡查一记录，做到有问题早发现、早处理，确保档案的安全。</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（五）加强领导，落实意识形态工作责任制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2019年，我馆先后召开了2次专题会议研究意识形态工作，</w:t>
      </w:r>
      <w:r>
        <w:rPr>
          <w:rFonts w:hint="eastAsia" w:ascii="仿宋" w:hAnsi="仿宋" w:eastAsia="仿宋" w:cs="宋体"/>
          <w:sz w:val="32"/>
          <w:szCs w:val="32"/>
          <w:shd w:val="clear" w:color="auto" w:fill="FFFFFF"/>
        </w:rPr>
        <w:t>强化对意识形态工作的研判和统一安排部署，</w:t>
      </w:r>
      <w:r>
        <w:rPr>
          <w:rFonts w:hint="eastAsia" w:ascii="仿宋" w:hAnsi="仿宋" w:eastAsia="仿宋" w:cs="仿宋"/>
          <w:sz w:val="32"/>
          <w:szCs w:val="32"/>
          <w:shd w:val="clear" w:color="auto" w:fill="FFFFFF"/>
        </w:rPr>
        <w:t>切实把握档案工作的政治属性和政治方向，</w:t>
      </w:r>
      <w:r>
        <w:rPr>
          <w:rFonts w:hint="eastAsia" w:ascii="仿宋" w:hAnsi="仿宋" w:eastAsia="仿宋" w:cs="仿宋"/>
          <w:sz w:val="32"/>
          <w:szCs w:val="32"/>
        </w:rPr>
        <w:t>找准档案部门意识形态工作的切入点，发挥意识形态工作思想引领、舆论推动、精神激励的重要作用，</w:t>
      </w:r>
      <w:r>
        <w:rPr>
          <w:rFonts w:hint="eastAsia" w:ascii="仿宋" w:hAnsi="仿宋" w:eastAsia="仿宋"/>
          <w:sz w:val="32"/>
          <w:szCs w:val="32"/>
        </w:rPr>
        <w:t>进一步提高意识形态工作针对性</w:t>
      </w:r>
      <w:r>
        <w:rPr>
          <w:rFonts w:hint="eastAsia" w:ascii="仿宋" w:hAnsi="仿宋" w:eastAsia="仿宋" w:cs="仿宋"/>
          <w:sz w:val="32"/>
          <w:szCs w:val="32"/>
        </w:rPr>
        <w:t>和实效性。同时</w:t>
      </w:r>
      <w:r>
        <w:rPr>
          <w:rFonts w:hint="eastAsia" w:ascii="仿宋" w:hAnsi="仿宋" w:eastAsia="仿宋"/>
          <w:sz w:val="32"/>
          <w:szCs w:val="32"/>
        </w:rPr>
        <w:t>按照《连城县档案局意识形态工作实施细则》和</w:t>
      </w:r>
      <w:r>
        <w:rPr>
          <w:rFonts w:hint="eastAsia" w:ascii="仿宋" w:hAnsi="仿宋" w:eastAsia="仿宋" w:cs="微软雅黑"/>
          <w:sz w:val="32"/>
          <w:szCs w:val="32"/>
        </w:rPr>
        <w:t>党风廉政建设 “一岗双责”的要求，将工作任务和责任分解到</w:t>
      </w:r>
      <w:r>
        <w:rPr>
          <w:rFonts w:hint="eastAsia" w:ascii="仿宋" w:hAnsi="仿宋" w:eastAsia="仿宋" w:cs="仿宋"/>
          <w:sz w:val="32"/>
          <w:szCs w:val="32"/>
          <w:shd w:val="clear" w:color="auto" w:fill="FFFFFF"/>
        </w:rPr>
        <w:t>班子各成员、各股室，层层传导，压紧压实责任，形成齐抓共管的局面。</w:t>
      </w:r>
      <w:r>
        <w:rPr>
          <w:rFonts w:hint="eastAsia" w:ascii="仿宋" w:hAnsi="仿宋" w:eastAsia="仿宋"/>
          <w:sz w:val="32"/>
          <w:szCs w:val="32"/>
        </w:rPr>
        <w:t>2019年，我馆还开展了4次意识形态学习教育，提升干部职工对意识形态工作重要性的认识和做好意识形态工作能力。同时</w:t>
      </w:r>
      <w:r>
        <w:rPr>
          <w:rFonts w:hint="eastAsia" w:ascii="仿宋" w:hAnsi="仿宋" w:eastAsia="仿宋" w:cs="仿宋"/>
          <w:sz w:val="32"/>
          <w:szCs w:val="32"/>
          <w:shd w:val="clear" w:color="auto" w:fill="FFFFFF"/>
        </w:rPr>
        <w:t>我馆</w:t>
      </w:r>
      <w:r>
        <w:rPr>
          <w:rFonts w:hint="eastAsia" w:ascii="仿宋" w:hAnsi="仿宋" w:eastAsia="仿宋"/>
          <w:sz w:val="32"/>
          <w:szCs w:val="32"/>
        </w:rPr>
        <w:t>利用6.9国际档案日、7.1建党日等</w:t>
      </w:r>
      <w:r>
        <w:rPr>
          <w:rFonts w:hint="eastAsia" w:ascii="仿宋" w:hAnsi="仿宋" w:eastAsia="仿宋" w:cs="仿宋"/>
          <w:sz w:val="32"/>
          <w:szCs w:val="32"/>
          <w:shd w:val="clear" w:color="auto" w:fill="FFFFFF"/>
        </w:rPr>
        <w:t>重要节庆纪念日，</w:t>
      </w:r>
      <w:r>
        <w:rPr>
          <w:rFonts w:hint="eastAsia" w:ascii="仿宋" w:hAnsi="仿宋" w:eastAsia="仿宋"/>
          <w:sz w:val="32"/>
          <w:szCs w:val="32"/>
        </w:rPr>
        <w:t>通过开展档案知识进企业、进学校、进机关、进社区、进农村、进家庭、进公共场所宣传活动，</w:t>
      </w:r>
      <w:r>
        <w:rPr>
          <w:rFonts w:hint="eastAsia" w:ascii="仿宋" w:hAnsi="仿宋" w:eastAsia="仿宋" w:cs="仿宋"/>
          <w:sz w:val="32"/>
          <w:szCs w:val="32"/>
          <w:shd w:val="clear" w:color="auto" w:fill="FFFFFF"/>
        </w:rPr>
        <w:t>借助档案讲好连城老区革命历史故事，广泛开展爱国主义教育，</w:t>
      </w:r>
      <w:r>
        <w:rPr>
          <w:rFonts w:hint="eastAsia" w:ascii="仿宋" w:hAnsi="仿宋" w:eastAsia="仿宋"/>
          <w:sz w:val="32"/>
          <w:szCs w:val="32"/>
        </w:rPr>
        <w:t>大力</w:t>
      </w:r>
      <w:r>
        <w:rPr>
          <w:rFonts w:hint="eastAsia" w:ascii="仿宋" w:hAnsi="仿宋" w:eastAsia="仿宋" w:cs="仿宋"/>
          <w:sz w:val="32"/>
          <w:szCs w:val="32"/>
          <w:shd w:val="clear" w:color="auto" w:fill="FFFFFF"/>
        </w:rPr>
        <w:t>弘扬我县革命传统和红色文化，</w:t>
      </w:r>
      <w:r>
        <w:rPr>
          <w:rFonts w:hint="eastAsia" w:ascii="仿宋" w:hAnsi="仿宋" w:eastAsia="仿宋"/>
          <w:sz w:val="32"/>
          <w:szCs w:val="32"/>
        </w:rPr>
        <w:t>传播正能量。并且</w:t>
      </w:r>
      <w:r>
        <w:rPr>
          <w:rFonts w:hint="eastAsia" w:ascii="仿宋" w:hAnsi="仿宋" w:eastAsia="仿宋" w:cs="仿宋"/>
          <w:sz w:val="32"/>
          <w:szCs w:val="32"/>
          <w:shd w:val="clear" w:color="auto" w:fill="FFFFFF"/>
        </w:rPr>
        <w:t>利用档案加强党史国史军史宣传教育，让历史说话、用史实发言，坚决维护党的历史和形象，引导社会公众形成正确历史认知，</w:t>
      </w:r>
      <w:r>
        <w:rPr>
          <w:rFonts w:hint="eastAsia" w:ascii="仿宋" w:hAnsi="仿宋" w:eastAsia="仿宋"/>
          <w:sz w:val="32"/>
          <w:szCs w:val="32"/>
        </w:rPr>
        <w:t>塑造正确的价值观和舆论导向</w:t>
      </w:r>
      <w:r>
        <w:rPr>
          <w:rFonts w:hint="eastAsia" w:ascii="仿宋" w:hAnsi="仿宋" w:eastAsia="仿宋" w:cs="仿宋"/>
          <w:sz w:val="32"/>
          <w:szCs w:val="32"/>
          <w:shd w:val="clear" w:color="auto" w:fill="FFFFFF"/>
        </w:rPr>
        <w:t>，</w:t>
      </w:r>
      <w:r>
        <w:rPr>
          <w:rFonts w:hint="eastAsia" w:ascii="仿宋" w:hAnsi="仿宋" w:eastAsia="仿宋"/>
          <w:sz w:val="32"/>
          <w:szCs w:val="32"/>
        </w:rPr>
        <w:t>为“三个连城”建设提供更强有力的红色文化保障。</w:t>
      </w:r>
      <w:r>
        <w:rPr>
          <w:rFonts w:hint="eastAsia" w:ascii="仿宋" w:hAnsi="仿宋" w:eastAsia="仿宋" w:cs="宋体"/>
          <w:sz w:val="32"/>
          <w:szCs w:val="32"/>
          <w:shd w:val="clear" w:color="auto" w:fill="FFFFFF"/>
        </w:rPr>
        <w:t xml:space="preserve">                                                                                                                                                </w:t>
      </w:r>
    </w:p>
    <w:p>
      <w:pPr>
        <w:spacing w:line="560" w:lineRule="exact"/>
        <w:ind w:firstLine="643" w:firstLineChars="200"/>
        <w:rPr>
          <w:rFonts w:ascii="仿宋" w:hAnsi="仿宋" w:eastAsia="仿宋"/>
          <w:b/>
          <w:sz w:val="32"/>
          <w:szCs w:val="32"/>
        </w:rPr>
      </w:pPr>
      <w:r>
        <w:rPr>
          <w:rFonts w:hint="eastAsia" w:ascii="仿宋" w:hAnsi="仿宋" w:eastAsia="仿宋"/>
          <w:b/>
          <w:bCs/>
          <w:sz w:val="32"/>
          <w:szCs w:val="32"/>
        </w:rPr>
        <w:t>（六）</w:t>
      </w:r>
      <w:r>
        <w:rPr>
          <w:rFonts w:hint="eastAsia" w:ascii="仿宋" w:hAnsi="仿宋" w:eastAsia="仿宋"/>
          <w:b/>
          <w:sz w:val="32"/>
          <w:szCs w:val="32"/>
        </w:rPr>
        <w:t>突出精准，着力服务脱贫攻坚。</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2019年，我馆干部共挂钩帮扶8户贫困户，其中隔川乡松洋村6户、新营村1户，罗坊乡岗头村1户。今年以来，我馆全体干部多次进村入户，给每户送去500元的慰问金和食用油、水果、月饼等慰问品，落实了就业帮扶、小额信贷帮扶、以奖代补帮扶、造福工程帮扶等帮扶举措， 8户贫困户在全部脱贫的基础上，生产生活状况得到进一步的巩固，帮扶成效显著。</w:t>
      </w:r>
      <w:r>
        <w:rPr>
          <w:rFonts w:hint="eastAsia" w:ascii="仿宋" w:hAnsi="仿宋" w:eastAsia="仿宋" w:cs="宋体"/>
          <w:sz w:val="32"/>
          <w:szCs w:val="32"/>
        </w:rPr>
        <w:t>9月20日全县迎接省级扶贫开发重点县退出检查动员会议以后，为进一步压实落细脱贫攻坚工作责任，确保我县如期实现省级扶贫开发工作重点县摘帽退出目标，根据县委、县政府统一部署和“百日会战”实施方案要求，我馆迅速组织动员起来，对标“三个硬”指标认真开展落实省级扶贫开发工作重点县摘帽退出攻坚战工作。</w:t>
      </w:r>
      <w:r>
        <w:rPr>
          <w:rFonts w:hint="eastAsia" w:ascii="仿宋" w:hAnsi="仿宋" w:eastAsia="仿宋"/>
          <w:sz w:val="32"/>
          <w:szCs w:val="32"/>
          <w:shd w:val="clear" w:color="auto" w:fill="FFFFFF"/>
        </w:rPr>
        <w:t>主动联系挂钩贫困村，在挂钩县领导的统一领导下，按照“五个一”标准，</w:t>
      </w:r>
      <w:r>
        <w:rPr>
          <w:rFonts w:hint="eastAsia" w:ascii="仿宋" w:hAnsi="仿宋" w:eastAsia="仿宋"/>
          <w:sz w:val="32"/>
          <w:szCs w:val="32"/>
        </w:rPr>
        <w:t>聚焦“两不愁三保障”这一贫困人口脱贫的基本要求和核心指标，</w:t>
      </w:r>
      <w:r>
        <w:rPr>
          <w:rFonts w:hint="eastAsia" w:ascii="仿宋" w:hAnsi="仿宋" w:eastAsia="仿宋"/>
          <w:sz w:val="32"/>
          <w:szCs w:val="32"/>
          <w:shd w:val="clear" w:color="auto" w:fill="FFFFFF"/>
        </w:rPr>
        <w:t>对所有贫困户进行再入户，对帮扶手册的规范填写、帮扶措施、脱贫方案、信息精准、政策宣传等全面自查自纠自改，确保基础信息零误差，确保零错评，确保零错退，</w:t>
      </w:r>
      <w:r>
        <w:rPr>
          <w:rFonts w:hint="eastAsia" w:ascii="仿宋" w:hAnsi="仿宋" w:eastAsia="仿宋"/>
          <w:sz w:val="32"/>
          <w:szCs w:val="32"/>
        </w:rPr>
        <w:t>保质保量地完成脱贫攻坚任务。</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（七）清正廉洁，着力加强机关作风建设。</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1、</w:t>
      </w:r>
      <w:r>
        <w:rPr>
          <w:rFonts w:hint="eastAsia" w:ascii="仿宋" w:hAnsi="仿宋" w:eastAsia="仿宋"/>
          <w:b/>
          <w:sz w:val="32"/>
          <w:szCs w:val="32"/>
        </w:rPr>
        <w:t>认真做好巡察整改工作。</w:t>
      </w:r>
      <w:r>
        <w:rPr>
          <w:rFonts w:hint="eastAsia" w:ascii="仿宋" w:hAnsi="仿宋" w:eastAsia="仿宋"/>
          <w:sz w:val="32"/>
          <w:szCs w:val="32"/>
        </w:rPr>
        <w:t>今年</w:t>
      </w:r>
      <w:r>
        <w:rPr>
          <w:rFonts w:hint="eastAsia" w:ascii="仿宋" w:hAnsi="仿宋" w:eastAsia="仿宋" w:cs="方正仿宋简体"/>
          <w:sz w:val="32"/>
          <w:szCs w:val="32"/>
        </w:rPr>
        <w:t>市委机动式交叉巡察</w:t>
      </w:r>
      <w:r>
        <w:rPr>
          <w:rFonts w:hint="eastAsia" w:ascii="仿宋" w:hAnsi="仿宋" w:eastAsia="仿宋" w:cs="宋体"/>
          <w:sz w:val="32"/>
          <w:szCs w:val="32"/>
        </w:rPr>
        <w:t>六</w:t>
      </w:r>
      <w:r>
        <w:rPr>
          <w:rFonts w:hint="eastAsia" w:ascii="仿宋" w:hAnsi="仿宋" w:eastAsia="仿宋" w:cs="方正仿宋简体"/>
          <w:sz w:val="32"/>
          <w:szCs w:val="32"/>
        </w:rPr>
        <w:t>组对我馆进行了巡察，</w:t>
      </w:r>
      <w:r>
        <w:rPr>
          <w:rFonts w:hint="eastAsia" w:ascii="仿宋" w:hAnsi="仿宋" w:eastAsia="仿宋" w:cs="Arial"/>
          <w:sz w:val="32"/>
          <w:szCs w:val="32"/>
        </w:rPr>
        <w:t>在肯定我馆工作的同时，准确地指出了工作中存在的问题和不足，我馆对巡视组的反馈意见高度重视，专门成立了以馆长为组长的巡察整改工作领导小组，研究制定整改方案，明确整改任务，细化分解整改事项，落实整改责任和整改时限，狠抓整改措施的落实。同时，注重将整改工作与推动各项日常工作有机结合，促进党风政风进一步好转和工作质量实效的有力提升。</w:t>
      </w:r>
    </w:p>
    <w:p>
      <w:pPr>
        <w:spacing w:line="560" w:lineRule="exact"/>
        <w:ind w:firstLine="640" w:firstLineChars="200"/>
        <w:rPr>
          <w:rFonts w:ascii="仿宋" w:hAnsi="仿宋" w:eastAsia="仿宋"/>
          <w:b/>
          <w:bCs/>
          <w:sz w:val="32"/>
          <w:szCs w:val="32"/>
        </w:rPr>
      </w:pPr>
      <w:r>
        <w:rPr>
          <w:rFonts w:hint="eastAsia" w:ascii="仿宋" w:hAnsi="仿宋" w:eastAsia="仿宋" w:cs="宋体"/>
          <w:sz w:val="32"/>
          <w:szCs w:val="32"/>
          <w:shd w:val="clear" w:color="auto" w:fill="FFFFFF"/>
        </w:rPr>
        <w:t>2、</w:t>
      </w:r>
      <w:r>
        <w:rPr>
          <w:rFonts w:hint="eastAsia" w:ascii="仿宋" w:hAnsi="仿宋" w:eastAsia="仿宋" w:cs="宋体"/>
          <w:b/>
          <w:sz w:val="32"/>
          <w:szCs w:val="32"/>
          <w:shd w:val="clear" w:color="auto" w:fill="FFFFFF"/>
        </w:rPr>
        <w:t>以机关党建规范化建设和落实党风廉政建设责任制推动机关作风建设。</w:t>
      </w:r>
      <w:r>
        <w:rPr>
          <w:rFonts w:hint="eastAsia" w:ascii="仿宋" w:hAnsi="仿宋" w:eastAsia="仿宋"/>
          <w:sz w:val="32"/>
          <w:szCs w:val="32"/>
        </w:rPr>
        <w:t>一是加强政治理论学习，提高干部政治思想素质。以“不忘初心、牢记使命”主题教育为契机，全体党员干部再次认真学习了习近平新时代中国特色社会主义思想、习近平总书记系列重要讲话、党的十九大和十九届四中全会精神等，研究制定本馆2019年度“两学一做”学习教育实施方案，落实学习计划，改进学习方式，增强学习实效。通过参加县委中心组学习、组织全体干部参加上级党委、县纪委派驻纪检组的学习辅导培训，召开党员干部大会集中学习培训、集体关注《廉豸连城》、《闽西党旗红》、《清风龙岩》、《连城网》等微信等方式，学习宣传贯彻十九届四中全会精神</w:t>
      </w:r>
      <w:r>
        <w:rPr>
          <w:rFonts w:hint="eastAsia" w:ascii="仿宋" w:hAnsi="仿宋" w:eastAsia="仿宋" w:cs="宋体"/>
          <w:sz w:val="32"/>
          <w:szCs w:val="32"/>
        </w:rPr>
        <w:t>和习近平总书记治国理政新理念新思想新战略，</w:t>
      </w:r>
      <w:r>
        <w:rPr>
          <w:rFonts w:hint="eastAsia" w:ascii="仿宋" w:hAnsi="仿宋" w:eastAsia="仿宋"/>
          <w:sz w:val="32"/>
          <w:szCs w:val="32"/>
        </w:rPr>
        <w:t>使党的各项政治思想理论内化于心，外化于行，不断</w:t>
      </w:r>
      <w:r>
        <w:rPr>
          <w:rFonts w:hint="eastAsia" w:ascii="仿宋" w:hAnsi="仿宋" w:eastAsia="仿宋"/>
          <w:sz w:val="32"/>
          <w:szCs w:val="32"/>
          <w:lang w:eastAsia="zh-CN"/>
        </w:rPr>
        <w:t>增强“四个意识”、坚定“四个自信”、做到“两个维护”</w:t>
      </w:r>
      <w:bookmarkStart w:id="0" w:name="_GoBack"/>
      <w:bookmarkEnd w:id="0"/>
      <w:r>
        <w:rPr>
          <w:rFonts w:hint="eastAsia" w:ascii="仿宋" w:hAnsi="仿宋" w:eastAsia="仿宋"/>
          <w:sz w:val="32"/>
          <w:szCs w:val="32"/>
        </w:rPr>
        <w:t>。</w:t>
      </w:r>
      <w:r>
        <w:rPr>
          <w:rFonts w:hint="eastAsia" w:ascii="仿宋" w:hAnsi="仿宋" w:eastAsia="仿宋" w:cs="宋体"/>
          <w:sz w:val="32"/>
          <w:szCs w:val="32"/>
          <w:shd w:val="clear" w:color="auto" w:fill="FFFFFF"/>
        </w:rPr>
        <w:t xml:space="preserve"> 教育和引导全体干部职工牢固树立马克思主义世界观、人生观、价值观，牢固树立正确的权利观、地位观、利益观和社会主义荣辱观。</w:t>
      </w:r>
      <w:r>
        <w:rPr>
          <w:rFonts w:hint="eastAsia" w:ascii="仿宋" w:hAnsi="仿宋" w:eastAsia="仿宋"/>
          <w:sz w:val="32"/>
          <w:szCs w:val="32"/>
        </w:rPr>
        <w:t>二是</w:t>
      </w:r>
      <w:r>
        <w:rPr>
          <w:rFonts w:hint="eastAsia" w:ascii="仿宋" w:hAnsi="仿宋" w:eastAsia="仿宋" w:cs="Tahoma"/>
          <w:sz w:val="32"/>
          <w:szCs w:val="32"/>
          <w:shd w:val="clear" w:color="auto" w:fill="FFFFFF"/>
        </w:rPr>
        <w:t>坚持把反腐倡廉教育作为队伍建设的重要内容。</w:t>
      </w:r>
      <w:r>
        <w:rPr>
          <w:rFonts w:hint="eastAsia" w:ascii="仿宋" w:hAnsi="仿宋" w:eastAsia="仿宋"/>
          <w:sz w:val="32"/>
          <w:szCs w:val="32"/>
        </w:rPr>
        <w:t>把新修订的《中国共产党章程》、《中国共产党廉洁自律准则》和《中国共产党纪律处分条例》作为切实担当和落实好全面从严治党主体责任的重要抓手，纳入支部会议学习、党课、党员学习规划中。通过集中学习相关政策文件、</w:t>
      </w:r>
      <w:r>
        <w:rPr>
          <w:rFonts w:hint="eastAsia" w:ascii="仿宋" w:hAnsi="仿宋" w:eastAsia="仿宋" w:cs="宋体"/>
          <w:sz w:val="32"/>
          <w:szCs w:val="32"/>
          <w:shd w:val="clear" w:color="auto" w:fill="FFFFFF"/>
        </w:rPr>
        <w:t>党内法规、国家法律法规和警示教育案例</w:t>
      </w:r>
      <w:r>
        <w:rPr>
          <w:rFonts w:hint="eastAsia" w:ascii="仿宋" w:hAnsi="仿宋" w:eastAsia="仿宋"/>
          <w:sz w:val="32"/>
          <w:szCs w:val="32"/>
        </w:rPr>
        <w:t>、观看警示教育片，并结合“不忘初心、牢记使命”主题教育参观廉政警示教育基地和新泉整训旧址群、松毛岭战地遗址、项南纪念馆、连城革命纪念馆等红色革命教育基地进行革命传统教育，重温红色记忆，接受深刻的思想政治洗礼，汲取红色营养和精神力量。传承红色基因，继续弘扬“听党话、跟党走”的优良传统，始终在思想上、政治上、行动上同以习近平同志为核心的党中央保持高度一致，把廉政教育贯彻到各项工作始终，使全体党员干部受警醒、明底线、知敬畏，工作中</w:t>
      </w:r>
      <w:r>
        <w:rPr>
          <w:rFonts w:hint="eastAsia" w:ascii="仿宋" w:hAnsi="仿宋" w:eastAsia="仿宋" w:cs="宋体"/>
          <w:sz w:val="32"/>
          <w:szCs w:val="32"/>
          <w:shd w:val="clear" w:color="auto" w:fill="FFFFFF"/>
        </w:rPr>
        <w:t>讲党性、重品行、作表率。</w:t>
      </w:r>
    </w:p>
    <w:p>
      <w:pPr>
        <w:pStyle w:val="5"/>
        <w:spacing w:before="0" w:beforeAutospacing="0" w:after="0" w:afterAutospacing="0" w:line="560" w:lineRule="exact"/>
        <w:ind w:firstLine="640" w:firstLineChars="200"/>
        <w:rPr>
          <w:rFonts w:ascii="仿宋" w:hAnsi="仿宋" w:eastAsia="仿宋"/>
          <w:sz w:val="32"/>
          <w:szCs w:val="32"/>
        </w:rPr>
      </w:pPr>
    </w:p>
    <w:p>
      <w:pPr>
        <w:pStyle w:val="5"/>
        <w:spacing w:before="0" w:beforeAutospacing="0" w:after="0" w:afterAutospacing="0" w:line="560" w:lineRule="exact"/>
        <w:ind w:firstLine="640" w:firstLineChars="200"/>
        <w:rPr>
          <w:rFonts w:ascii="仿宋" w:hAnsi="仿宋" w:eastAsia="仿宋"/>
          <w:sz w:val="32"/>
          <w:szCs w:val="32"/>
        </w:rPr>
      </w:pPr>
    </w:p>
    <w:p>
      <w:pPr>
        <w:spacing w:line="600" w:lineRule="exact"/>
        <w:rPr>
          <w:rFonts w:ascii="仿宋" w:hAnsi="仿宋" w:eastAsia="仿宋"/>
          <w:sz w:val="32"/>
          <w:szCs w:val="32"/>
        </w:rPr>
      </w:pPr>
    </w:p>
    <w:p>
      <w:pPr>
        <w:rPr>
          <w:rFonts w:ascii="黑体" w:hAnsi="黑体" w:eastAsia="黑体"/>
          <w:sz w:val="36"/>
          <w:szCs w:val="36"/>
        </w:rPr>
      </w:pPr>
      <w:r>
        <w:rPr>
          <w:rFonts w:hint="eastAsia" w:ascii="黑体" w:hAnsi="黑体" w:eastAsia="黑体"/>
          <w:sz w:val="36"/>
          <w:szCs w:val="36"/>
        </w:rPr>
        <w:br w:type="page"/>
      </w:r>
    </w:p>
    <w:p>
      <w:pPr>
        <w:spacing w:line="600" w:lineRule="exact"/>
        <w:jc w:val="center"/>
        <w:rPr>
          <w:rFonts w:ascii="黑体" w:hAnsi="黑体" w:eastAsia="黑体"/>
          <w:sz w:val="36"/>
          <w:szCs w:val="36"/>
        </w:rPr>
      </w:pPr>
      <w:r>
        <w:rPr>
          <w:rFonts w:hint="eastAsia" w:ascii="黑体" w:hAnsi="黑体" w:eastAsia="黑体"/>
          <w:sz w:val="36"/>
          <w:szCs w:val="36"/>
        </w:rPr>
        <w:t>第二部分 2019年度部门决算表</w:t>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 xml:space="preserve">收入支出决算总表 </w:t>
      </w:r>
    </w:p>
    <w:tbl>
      <w:tblPr>
        <w:tblStyle w:val="6"/>
        <w:tblW w:w="9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59"/>
        <w:gridCol w:w="144"/>
        <w:gridCol w:w="720"/>
        <w:gridCol w:w="3703"/>
        <w:gridCol w:w="1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200" w:type="dxa"/>
            <w:gridSpan w:val="5"/>
            <w:tcBorders>
              <w:top w:val="nil"/>
              <w:left w:val="nil"/>
              <w:bottom w:val="nil"/>
              <w:right w:val="nil"/>
            </w:tcBorders>
            <w:vAlign w:val="bottom"/>
          </w:tcPr>
          <w:p>
            <w:pPr>
              <w:widowControl/>
              <w:spacing w:line="240" w:lineRule="auto"/>
              <w:jc w:val="center"/>
              <w:rPr>
                <w:rFonts w:ascii="黑体" w:hAnsi="Arial" w:eastAsia="黑体" w:cs="Arial"/>
                <w:kern w:val="0"/>
                <w:sz w:val="44"/>
                <w:szCs w:val="44"/>
              </w:rPr>
            </w:pPr>
            <w:r>
              <w:rPr>
                <w:rFonts w:hint="eastAsia" w:ascii="黑体" w:hAnsi="Arial" w:eastAsia="黑体" w:cs="Arial"/>
                <w:kern w:val="0"/>
                <w:sz w:val="36"/>
                <w:szCs w:val="36"/>
              </w:rPr>
              <w:t>收支决算总表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03" w:type="dxa"/>
            <w:gridSpan w:val="2"/>
            <w:tcBorders>
              <w:top w:val="nil"/>
              <w:left w:val="nil"/>
              <w:bottom w:val="nil"/>
              <w:right w:val="nil"/>
            </w:tcBorders>
            <w:vAlign w:val="bottom"/>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编制单位：连城县档案馆</w:t>
            </w:r>
          </w:p>
        </w:tc>
        <w:tc>
          <w:tcPr>
            <w:tcW w:w="720" w:type="dxa"/>
            <w:tcBorders>
              <w:top w:val="nil"/>
              <w:left w:val="nil"/>
              <w:bottom w:val="nil"/>
              <w:right w:val="nil"/>
            </w:tcBorders>
            <w:vAlign w:val="bottom"/>
          </w:tcPr>
          <w:p>
            <w:pPr>
              <w:widowControl/>
              <w:spacing w:line="240" w:lineRule="auto"/>
              <w:jc w:val="right"/>
              <w:rPr>
                <w:rFonts w:ascii="宋体" w:hAnsi="宋体" w:eastAsia="宋体" w:cs="Arial"/>
                <w:kern w:val="0"/>
                <w:sz w:val="20"/>
                <w:szCs w:val="20"/>
              </w:rPr>
            </w:pPr>
          </w:p>
        </w:tc>
        <w:tc>
          <w:tcPr>
            <w:tcW w:w="4777" w:type="dxa"/>
            <w:gridSpan w:val="2"/>
            <w:tcBorders>
              <w:top w:val="nil"/>
              <w:left w:val="nil"/>
              <w:bottom w:val="nil"/>
              <w:right w:val="nil"/>
            </w:tcBorders>
            <w:vAlign w:val="bottom"/>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23" w:type="dxa"/>
            <w:gridSpan w:val="3"/>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收入</w:t>
            </w:r>
          </w:p>
        </w:tc>
        <w:tc>
          <w:tcPr>
            <w:tcW w:w="4777" w:type="dxa"/>
            <w:gridSpan w:val="2"/>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w:t>
            </w:r>
          </w:p>
        </w:tc>
        <w:tc>
          <w:tcPr>
            <w:tcW w:w="864"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决算数</w:t>
            </w:r>
          </w:p>
        </w:tc>
        <w:tc>
          <w:tcPr>
            <w:tcW w:w="3703"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项目(按支出功能分类)</w:t>
            </w:r>
          </w:p>
        </w:tc>
        <w:tc>
          <w:tcPr>
            <w:tcW w:w="1074"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一、一般公共预算财政拨款收入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143.61</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一、一般公共服务支出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231.12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二、政府性基金预算财政拨款收入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0.00</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二、外交支出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三、上级补助收入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0.00</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三、国防支出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四、事业收入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0.00</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四、公共安全支出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五、经营收入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0.00</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五、教育支出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六、附属单位上缴收入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0.00</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六、科学技术支出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top"/>
          </w:tcPr>
          <w:p>
            <w:pPr>
              <w:rPr>
                <w:rFonts w:cs="Arial"/>
                <w:sz w:val="22"/>
              </w:rPr>
            </w:pPr>
            <w:r>
              <w:rPr>
                <w:rFonts w:hint="eastAsia" w:cs="Arial"/>
                <w:sz w:val="22"/>
              </w:rPr>
              <w:t>七、其他收入</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0.50</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七、文化旅游体育与传媒支出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八、社会保障和就业支出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九、卫生健康支出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十、节能环保支出</w:t>
            </w:r>
          </w:p>
        </w:tc>
        <w:tc>
          <w:tcPr>
            <w:tcW w:w="1074" w:type="dxa"/>
            <w:tcBorders>
              <w:top w:val="nil"/>
              <w:left w:val="nil"/>
              <w:bottom w:val="single" w:color="000000" w:sz="4" w:space="0"/>
              <w:right w:val="single" w:color="000000" w:sz="4" w:space="0"/>
            </w:tcBorders>
            <w:vAlign w:val="center"/>
          </w:tcPr>
          <w:p>
            <w:pPr>
              <w:jc w:val="right"/>
              <w:rPr>
                <w:rFonts w:ascii="宋体" w:hAnsi="宋体" w:eastAsia="宋体" w:cs="宋体"/>
                <w:kern w:val="0"/>
                <w:sz w:val="22"/>
              </w:rPr>
            </w:pPr>
            <w:r>
              <w:rPr>
                <w:rFonts w:hint="eastAsia" w:ascii="宋体" w:hAnsi="宋体" w:eastAsia="宋体" w:cs="宋体"/>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十一、城乡社区支出</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十二、农林水支出</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十三、交通运输支出</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十四、资源勘探信息等支出</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auto"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auto" w:sz="4" w:space="0"/>
              <w:right w:val="single" w:color="000000" w:sz="4" w:space="0"/>
            </w:tcBorders>
            <w:vAlign w:val="center"/>
          </w:tcPr>
          <w:p>
            <w:pPr>
              <w:rPr>
                <w:rFonts w:ascii="宋体" w:hAnsi="宋体" w:eastAsia="宋体" w:cs="Arial"/>
                <w:sz w:val="22"/>
              </w:rPr>
            </w:pPr>
            <w:r>
              <w:rPr>
                <w:rFonts w:hint="eastAsia" w:cs="Arial"/>
                <w:sz w:val="22"/>
              </w:rPr>
              <w:t>十五、商业服务业等支出</w:t>
            </w:r>
          </w:p>
        </w:tc>
        <w:tc>
          <w:tcPr>
            <w:tcW w:w="1074" w:type="dxa"/>
            <w:tcBorders>
              <w:top w:val="nil"/>
              <w:left w:val="nil"/>
              <w:bottom w:val="single" w:color="auto"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十六、金融支出</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nil"/>
              <w:bottom w:val="single" w:color="auto"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nil"/>
              <w:bottom w:val="single" w:color="auto" w:sz="4" w:space="0"/>
              <w:right w:val="single" w:color="000000" w:sz="4" w:space="0"/>
            </w:tcBorders>
            <w:vAlign w:val="center"/>
          </w:tcPr>
          <w:p>
            <w:pPr>
              <w:rPr>
                <w:rFonts w:ascii="宋体" w:hAnsi="宋体" w:eastAsia="宋体" w:cs="Arial"/>
                <w:sz w:val="22"/>
              </w:rPr>
            </w:pPr>
            <w:r>
              <w:rPr>
                <w:rFonts w:hint="eastAsia" w:cs="Arial"/>
                <w:sz w:val="22"/>
              </w:rPr>
              <w:t>十七、援助其他地区支出</w:t>
            </w:r>
          </w:p>
        </w:tc>
        <w:tc>
          <w:tcPr>
            <w:tcW w:w="1074" w:type="dxa"/>
            <w:tcBorders>
              <w:top w:val="single" w:color="auto" w:sz="4" w:space="0"/>
              <w:left w:val="nil"/>
              <w:bottom w:val="single" w:color="auto"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十八、自然资源海洋气象等支出</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nil"/>
              <w:bottom w:val="single" w:color="auto"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nil"/>
              <w:bottom w:val="single" w:color="auto" w:sz="4" w:space="0"/>
              <w:right w:val="single" w:color="000000" w:sz="4" w:space="0"/>
            </w:tcBorders>
            <w:vAlign w:val="center"/>
          </w:tcPr>
          <w:p>
            <w:pPr>
              <w:rPr>
                <w:rFonts w:ascii="宋体" w:hAnsi="宋体" w:eastAsia="宋体" w:cs="Arial"/>
                <w:sz w:val="22"/>
              </w:rPr>
            </w:pPr>
            <w:r>
              <w:rPr>
                <w:rFonts w:hint="eastAsia" w:cs="Arial"/>
                <w:sz w:val="22"/>
              </w:rPr>
              <w:t>十九、住房保障支出</w:t>
            </w:r>
          </w:p>
        </w:tc>
        <w:tc>
          <w:tcPr>
            <w:tcW w:w="1074" w:type="dxa"/>
            <w:tcBorders>
              <w:top w:val="single" w:color="auto" w:sz="4" w:space="0"/>
              <w:left w:val="nil"/>
              <w:bottom w:val="single" w:color="auto"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二十、粮油物资储备支出</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二十一、灾害防治及应急管理支出</w:t>
            </w:r>
          </w:p>
        </w:tc>
        <w:tc>
          <w:tcPr>
            <w:tcW w:w="107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single" w:color="auto"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single" w:color="auto" w:sz="4" w:space="0"/>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single" w:color="auto" w:sz="4" w:space="0"/>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二十二、其他支出</w:t>
            </w:r>
          </w:p>
        </w:tc>
        <w:tc>
          <w:tcPr>
            <w:tcW w:w="1074" w:type="dxa"/>
            <w:tcBorders>
              <w:top w:val="single" w:color="auto" w:sz="4" w:space="0"/>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二十三、债务还本支出</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b/>
                <w:bCs/>
                <w:kern w:val="0"/>
                <w:sz w:val="22"/>
              </w:rPr>
            </w:pPr>
          </w:p>
        </w:tc>
        <w:tc>
          <w:tcPr>
            <w:tcW w:w="864" w:type="dxa"/>
            <w:gridSpan w:val="2"/>
            <w:tcBorders>
              <w:top w:val="nil"/>
              <w:left w:val="nil"/>
              <w:bottom w:val="single" w:color="000000" w:sz="4" w:space="0"/>
              <w:right w:val="single" w:color="000000" w:sz="4" w:space="0"/>
            </w:tcBorders>
            <w:vAlign w:val="center"/>
          </w:tcPr>
          <w:p>
            <w:pPr>
              <w:rPr>
                <w:rFonts w:ascii="宋体" w:hAnsi="宋体" w:eastAsia="宋体" w:cs="Arial"/>
                <w:sz w:val="20"/>
                <w:szCs w:val="20"/>
              </w:rPr>
            </w:pPr>
            <w:r>
              <w:rPr>
                <w:rFonts w:hint="eastAsia" w:cs="Arial"/>
                <w:sz w:val="20"/>
                <w:szCs w:val="20"/>
              </w:rPr>
              <w:t>　</w:t>
            </w:r>
          </w:p>
        </w:tc>
        <w:tc>
          <w:tcPr>
            <w:tcW w:w="3703"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二十四、债务付息支出</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b/>
                <w:bCs/>
                <w:kern w:val="0"/>
                <w:sz w:val="22"/>
              </w:rPr>
            </w:pPr>
            <w:r>
              <w:rPr>
                <w:rFonts w:hint="eastAsia" w:ascii="宋体" w:hAnsi="宋体" w:eastAsia="宋体" w:cs="Arial"/>
                <w:b/>
                <w:bCs/>
                <w:kern w:val="0"/>
                <w:sz w:val="22"/>
              </w:rPr>
              <w:t>本年收入合计</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144.11</w:t>
            </w:r>
          </w:p>
        </w:tc>
        <w:tc>
          <w:tcPr>
            <w:tcW w:w="3703"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b/>
                <w:bCs/>
                <w:kern w:val="0"/>
                <w:sz w:val="22"/>
              </w:rPr>
            </w:pPr>
            <w:r>
              <w:rPr>
                <w:rFonts w:hint="eastAsia" w:ascii="宋体" w:hAnsi="宋体" w:eastAsia="宋体" w:cs="Arial"/>
                <w:b/>
                <w:bCs/>
                <w:kern w:val="0"/>
                <w:sz w:val="22"/>
              </w:rPr>
              <w:t>本年支出合计</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231.12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用事业基金弥补收支差额</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0.00</w:t>
            </w:r>
          </w:p>
        </w:tc>
        <w:tc>
          <w:tcPr>
            <w:tcW w:w="370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结余分配</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年初结转和结余</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242.84</w:t>
            </w:r>
          </w:p>
        </w:tc>
        <w:tc>
          <w:tcPr>
            <w:tcW w:w="370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年末结转和结余</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155.83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59" w:type="dxa"/>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b/>
                <w:bCs/>
                <w:kern w:val="0"/>
                <w:sz w:val="22"/>
              </w:rPr>
            </w:pPr>
            <w:r>
              <w:rPr>
                <w:rFonts w:hint="eastAsia" w:ascii="宋体" w:hAnsi="宋体" w:eastAsia="宋体" w:cs="Arial"/>
                <w:b/>
                <w:bCs/>
                <w:kern w:val="0"/>
                <w:sz w:val="22"/>
              </w:rPr>
              <w:t>合计</w:t>
            </w:r>
          </w:p>
        </w:tc>
        <w:tc>
          <w:tcPr>
            <w:tcW w:w="864" w:type="dxa"/>
            <w:gridSpan w:val="2"/>
            <w:tcBorders>
              <w:top w:val="nil"/>
              <w:left w:val="nil"/>
              <w:bottom w:val="single" w:color="000000" w:sz="4" w:space="0"/>
              <w:right w:val="single" w:color="000000" w:sz="4" w:space="0"/>
            </w:tcBorders>
            <w:vAlign w:val="center"/>
          </w:tcPr>
          <w:p>
            <w:pPr>
              <w:jc w:val="right"/>
              <w:rPr>
                <w:rFonts w:ascii="宋体" w:hAnsi="宋体" w:eastAsia="宋体" w:cs="宋体"/>
                <w:sz w:val="20"/>
                <w:szCs w:val="20"/>
              </w:rPr>
            </w:pPr>
            <w:r>
              <w:rPr>
                <w:rFonts w:hint="eastAsia" w:ascii="宋体" w:hAnsi="宋体" w:eastAsia="宋体" w:cs="宋体"/>
                <w:sz w:val="20"/>
                <w:szCs w:val="20"/>
              </w:rPr>
              <w:t>386.96</w:t>
            </w:r>
          </w:p>
        </w:tc>
        <w:tc>
          <w:tcPr>
            <w:tcW w:w="3703"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b/>
                <w:bCs/>
                <w:kern w:val="0"/>
                <w:sz w:val="22"/>
              </w:rPr>
            </w:pPr>
            <w:r>
              <w:rPr>
                <w:rFonts w:hint="eastAsia" w:ascii="宋体" w:hAnsi="宋体" w:eastAsia="宋体" w:cs="Arial"/>
                <w:b/>
                <w:bCs/>
                <w:kern w:val="0"/>
                <w:sz w:val="22"/>
              </w:rPr>
              <w:t>合计</w:t>
            </w:r>
          </w:p>
        </w:tc>
        <w:tc>
          <w:tcPr>
            <w:tcW w:w="1074" w:type="dxa"/>
            <w:tcBorders>
              <w:top w:val="nil"/>
              <w:left w:val="nil"/>
              <w:bottom w:val="single" w:color="000000" w:sz="4" w:space="0"/>
              <w:right w:val="single" w:color="000000" w:sz="4" w:space="0"/>
            </w:tcBorders>
            <w:vAlign w:val="center"/>
          </w:tcPr>
          <w:p>
            <w:pPr>
              <w:widowControl/>
              <w:jc w:val="right"/>
              <w:textAlignment w:val="center"/>
              <w:rPr>
                <w:rFonts w:ascii="宋体" w:hAnsi="宋体" w:eastAsia="宋体" w:cs="Arial"/>
                <w:kern w:val="0"/>
                <w:sz w:val="22"/>
              </w:rPr>
            </w:pPr>
            <w:r>
              <w:rPr>
                <w:rFonts w:hint="eastAsia" w:ascii="宋体" w:hAnsi="宋体" w:eastAsia="宋体" w:cs="宋体"/>
                <w:kern w:val="0"/>
                <w:sz w:val="20"/>
                <w:szCs w:val="20"/>
              </w:rPr>
              <w:t>386.96</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 xml:space="preserve">收入决算表 </w:t>
      </w:r>
    </w:p>
    <w:tbl>
      <w:tblPr>
        <w:tblStyle w:val="6"/>
        <w:tblW w:w="88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
        <w:gridCol w:w="436"/>
        <w:gridCol w:w="436"/>
        <w:gridCol w:w="1227"/>
        <w:gridCol w:w="882"/>
        <w:gridCol w:w="993"/>
        <w:gridCol w:w="708"/>
        <w:gridCol w:w="559"/>
        <w:gridCol w:w="870"/>
        <w:gridCol w:w="981"/>
        <w:gridCol w:w="1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04" w:type="dxa"/>
            <w:gridSpan w:val="11"/>
            <w:tcBorders>
              <w:top w:val="nil"/>
              <w:left w:val="nil"/>
              <w:bottom w:val="nil"/>
              <w:right w:val="nil"/>
            </w:tcBorders>
            <w:vAlign w:val="bottom"/>
          </w:tcPr>
          <w:p>
            <w:pPr>
              <w:widowControl/>
              <w:spacing w:line="240" w:lineRule="auto"/>
              <w:jc w:val="center"/>
              <w:rPr>
                <w:rFonts w:ascii="宋体" w:hAnsi="宋体" w:eastAsia="宋体" w:cs="Arial"/>
                <w:kern w:val="0"/>
                <w:sz w:val="44"/>
                <w:szCs w:val="44"/>
              </w:rPr>
            </w:pPr>
            <w:r>
              <w:rPr>
                <w:rFonts w:hint="eastAsia" w:ascii="黑体" w:hAnsi="Arial" w:eastAsia="黑体" w:cs="Arial"/>
                <w:kern w:val="0"/>
                <w:sz w:val="36"/>
                <w:szCs w:val="36"/>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417" w:type="dxa"/>
            <w:gridSpan w:val="5"/>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r>
              <w:rPr>
                <w:rFonts w:hint="eastAsia" w:ascii="宋体" w:hAnsi="宋体" w:eastAsia="宋体" w:cs="Arial"/>
                <w:kern w:val="0"/>
                <w:sz w:val="24"/>
                <w:szCs w:val="24"/>
              </w:rPr>
              <w:t>编制单位：</w:t>
            </w:r>
            <w:r>
              <w:rPr>
                <w:rFonts w:hint="eastAsia" w:ascii="宋体" w:hAnsi="宋体" w:eastAsia="宋体" w:cs="Arial"/>
                <w:kern w:val="0"/>
                <w:sz w:val="22"/>
              </w:rPr>
              <w:t>连城县档案馆</w:t>
            </w:r>
          </w:p>
        </w:tc>
        <w:tc>
          <w:tcPr>
            <w:tcW w:w="993"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708" w:type="dxa"/>
            <w:tcBorders>
              <w:top w:val="nil"/>
              <w:left w:val="nil"/>
              <w:bottom w:val="nil"/>
              <w:right w:val="nil"/>
            </w:tcBorders>
            <w:vAlign w:val="bottom"/>
          </w:tcPr>
          <w:p>
            <w:pPr>
              <w:widowControl/>
              <w:spacing w:line="240" w:lineRule="auto"/>
              <w:jc w:val="center"/>
              <w:rPr>
                <w:rFonts w:ascii="宋体" w:hAnsi="宋体" w:eastAsia="宋体" w:cs="Arial"/>
                <w:kern w:val="0"/>
                <w:sz w:val="24"/>
                <w:szCs w:val="24"/>
              </w:rPr>
            </w:pPr>
          </w:p>
        </w:tc>
        <w:tc>
          <w:tcPr>
            <w:tcW w:w="559"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870"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2257" w:type="dxa"/>
            <w:gridSpan w:val="2"/>
            <w:tcBorders>
              <w:top w:val="nil"/>
              <w:left w:val="nil"/>
              <w:bottom w:val="nil"/>
              <w:right w:val="nil"/>
            </w:tcBorders>
            <w:vAlign w:val="bottom"/>
          </w:tcPr>
          <w:p>
            <w:pPr>
              <w:widowControl/>
              <w:spacing w:line="240" w:lineRule="auto"/>
              <w:jc w:val="right"/>
              <w:rPr>
                <w:rFonts w:ascii="宋体" w:hAnsi="宋体" w:eastAsia="宋体" w:cs="Arial"/>
                <w:kern w:val="0"/>
                <w:sz w:val="24"/>
                <w:szCs w:val="24"/>
              </w:rPr>
            </w:pPr>
            <w:r>
              <w:rPr>
                <w:rFonts w:hint="eastAsia" w:ascii="宋体" w:hAnsi="宋体" w:eastAsia="宋体" w:cs="Arial"/>
                <w:kern w:val="0"/>
                <w:sz w:val="24"/>
                <w:szCs w:val="24"/>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35" w:type="dxa"/>
            <w:gridSpan w:val="4"/>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w:t>
            </w:r>
          </w:p>
        </w:tc>
        <w:tc>
          <w:tcPr>
            <w:tcW w:w="882"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本年收入合计</w:t>
            </w:r>
          </w:p>
        </w:tc>
        <w:tc>
          <w:tcPr>
            <w:tcW w:w="993"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财政拨款收入</w:t>
            </w:r>
          </w:p>
        </w:tc>
        <w:tc>
          <w:tcPr>
            <w:tcW w:w="708"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上级补助收入</w:t>
            </w:r>
          </w:p>
        </w:tc>
        <w:tc>
          <w:tcPr>
            <w:tcW w:w="559"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事业收入</w:t>
            </w:r>
          </w:p>
        </w:tc>
        <w:tc>
          <w:tcPr>
            <w:tcW w:w="870"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经营收入</w:t>
            </w:r>
          </w:p>
        </w:tc>
        <w:tc>
          <w:tcPr>
            <w:tcW w:w="981"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附属单位上缴收入</w:t>
            </w:r>
          </w:p>
        </w:tc>
        <w:tc>
          <w:tcPr>
            <w:tcW w:w="1276" w:type="dxa"/>
            <w:vMerge w:val="restart"/>
            <w:tcBorders>
              <w:top w:val="single" w:color="000000" w:sz="8" w:space="0"/>
              <w:left w:val="nil"/>
              <w:bottom w:val="single" w:color="000000" w:sz="4" w:space="0"/>
              <w:right w:val="single" w:color="000000" w:sz="8"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支出功能分类科目编码</w:t>
            </w:r>
          </w:p>
        </w:tc>
        <w:tc>
          <w:tcPr>
            <w:tcW w:w="1227"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科目名称</w:t>
            </w:r>
          </w:p>
        </w:tc>
        <w:tc>
          <w:tcPr>
            <w:tcW w:w="882"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3"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708"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559"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870"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81"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76" w:type="dxa"/>
            <w:vMerge w:val="continue"/>
            <w:tcBorders>
              <w:top w:val="single" w:color="000000" w:sz="8" w:space="0"/>
              <w:left w:val="nil"/>
              <w:bottom w:val="single" w:color="000000" w:sz="4" w:space="0"/>
              <w:right w:val="single" w:color="000000" w:sz="8"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27"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882"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3"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708"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559"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870"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81"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76" w:type="dxa"/>
            <w:vMerge w:val="continue"/>
            <w:tcBorders>
              <w:top w:val="single" w:color="000000" w:sz="8" w:space="0"/>
              <w:left w:val="nil"/>
              <w:bottom w:val="single" w:color="000000" w:sz="4" w:space="0"/>
              <w:right w:val="single" w:color="000000" w:sz="8"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27"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882"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3"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708"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559"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870"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81"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76" w:type="dxa"/>
            <w:vMerge w:val="continue"/>
            <w:tcBorders>
              <w:top w:val="single" w:color="000000" w:sz="8" w:space="0"/>
              <w:left w:val="nil"/>
              <w:bottom w:val="single" w:color="000000" w:sz="4" w:space="0"/>
              <w:right w:val="single" w:color="000000" w:sz="8"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类</w:t>
            </w:r>
          </w:p>
        </w:tc>
        <w:tc>
          <w:tcPr>
            <w:tcW w:w="436"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款</w:t>
            </w:r>
          </w:p>
        </w:tc>
        <w:tc>
          <w:tcPr>
            <w:tcW w:w="436"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w:t>
            </w:r>
          </w:p>
        </w:tc>
        <w:tc>
          <w:tcPr>
            <w:tcW w:w="1227"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合计</w:t>
            </w:r>
          </w:p>
        </w:tc>
        <w:tc>
          <w:tcPr>
            <w:tcW w:w="882"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144.11　</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144.11　</w:t>
            </w:r>
          </w:p>
        </w:tc>
        <w:tc>
          <w:tcPr>
            <w:tcW w:w="70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559"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87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98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1276" w:type="dxa"/>
            <w:tcBorders>
              <w:top w:val="nil"/>
              <w:left w:val="nil"/>
              <w:bottom w:val="single" w:color="000000" w:sz="4" w:space="0"/>
              <w:right w:val="single" w:color="000000" w:sz="8"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08" w:type="dxa"/>
            <w:gridSpan w:val="3"/>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行政运行</w:t>
            </w:r>
          </w:p>
        </w:tc>
        <w:tc>
          <w:tcPr>
            <w:tcW w:w="1227"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136.11</w:t>
            </w:r>
          </w:p>
        </w:tc>
        <w:tc>
          <w:tcPr>
            <w:tcW w:w="882"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136.11</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136.11</w:t>
            </w:r>
          </w:p>
        </w:tc>
        <w:tc>
          <w:tcPr>
            <w:tcW w:w="70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559"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87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98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1276" w:type="dxa"/>
            <w:tcBorders>
              <w:top w:val="nil"/>
              <w:left w:val="nil"/>
              <w:bottom w:val="single" w:color="000000" w:sz="4" w:space="0"/>
              <w:right w:val="single" w:color="000000" w:sz="8"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08" w:type="dxa"/>
            <w:gridSpan w:val="3"/>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档案馆 </w:t>
            </w:r>
          </w:p>
        </w:tc>
        <w:tc>
          <w:tcPr>
            <w:tcW w:w="1227"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8</w:t>
            </w:r>
          </w:p>
        </w:tc>
        <w:tc>
          <w:tcPr>
            <w:tcW w:w="882"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8</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8</w:t>
            </w:r>
          </w:p>
        </w:tc>
        <w:tc>
          <w:tcPr>
            <w:tcW w:w="70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559"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87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98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1276" w:type="dxa"/>
            <w:tcBorders>
              <w:top w:val="nil"/>
              <w:left w:val="nil"/>
              <w:bottom w:val="single" w:color="000000" w:sz="4" w:space="0"/>
              <w:right w:val="single" w:color="000000" w:sz="8"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支出决算表</w:t>
      </w:r>
    </w:p>
    <w:tbl>
      <w:tblPr>
        <w:tblStyle w:val="6"/>
        <w:tblW w:w="90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
        <w:gridCol w:w="436"/>
        <w:gridCol w:w="561"/>
        <w:gridCol w:w="992"/>
        <w:gridCol w:w="992"/>
        <w:gridCol w:w="993"/>
        <w:gridCol w:w="708"/>
        <w:gridCol w:w="709"/>
        <w:gridCol w:w="1134"/>
        <w:gridCol w:w="20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004" w:type="dxa"/>
            <w:gridSpan w:val="10"/>
            <w:tcBorders>
              <w:top w:val="nil"/>
              <w:left w:val="nil"/>
              <w:bottom w:val="nil"/>
              <w:right w:val="nil"/>
            </w:tcBorders>
            <w:vAlign w:val="bottom"/>
          </w:tcPr>
          <w:p>
            <w:pPr>
              <w:widowControl/>
              <w:spacing w:line="240" w:lineRule="auto"/>
              <w:jc w:val="center"/>
              <w:rPr>
                <w:rFonts w:ascii="宋体" w:hAnsi="宋体" w:eastAsia="宋体" w:cs="Arial"/>
                <w:kern w:val="0"/>
                <w:sz w:val="44"/>
                <w:szCs w:val="44"/>
              </w:rPr>
            </w:pPr>
            <w:r>
              <w:rPr>
                <w:rFonts w:hint="eastAsia" w:ascii="黑体" w:hAnsi="Arial" w:eastAsia="黑体" w:cs="Arial"/>
                <w:kern w:val="0"/>
                <w:sz w:val="36"/>
                <w:szCs w:val="36"/>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417" w:type="dxa"/>
            <w:gridSpan w:val="5"/>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r>
              <w:rPr>
                <w:rFonts w:hint="eastAsia" w:ascii="宋体" w:hAnsi="宋体" w:eastAsia="宋体" w:cs="Arial"/>
                <w:kern w:val="0"/>
                <w:sz w:val="24"/>
                <w:szCs w:val="24"/>
              </w:rPr>
              <w:t>编制单位：</w:t>
            </w:r>
            <w:r>
              <w:rPr>
                <w:rFonts w:hint="eastAsia" w:ascii="宋体" w:hAnsi="宋体" w:eastAsia="宋体" w:cs="Arial"/>
                <w:kern w:val="0"/>
                <w:sz w:val="22"/>
              </w:rPr>
              <w:t>连城县档案馆</w:t>
            </w:r>
          </w:p>
        </w:tc>
        <w:tc>
          <w:tcPr>
            <w:tcW w:w="993" w:type="dxa"/>
            <w:tcBorders>
              <w:top w:val="nil"/>
              <w:left w:val="nil"/>
              <w:bottom w:val="nil"/>
              <w:right w:val="nil"/>
            </w:tcBorders>
            <w:vAlign w:val="bottom"/>
          </w:tcPr>
          <w:p>
            <w:pPr>
              <w:widowControl/>
              <w:spacing w:line="240" w:lineRule="auto"/>
              <w:jc w:val="center"/>
              <w:rPr>
                <w:rFonts w:ascii="宋体" w:hAnsi="宋体" w:eastAsia="宋体" w:cs="Arial"/>
                <w:kern w:val="0"/>
                <w:sz w:val="24"/>
                <w:szCs w:val="24"/>
              </w:rPr>
            </w:pPr>
          </w:p>
        </w:tc>
        <w:tc>
          <w:tcPr>
            <w:tcW w:w="708"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709" w:type="dxa"/>
            <w:tcBorders>
              <w:top w:val="nil"/>
              <w:left w:val="nil"/>
              <w:bottom w:val="single" w:color="auto" w:sz="4" w:space="0"/>
              <w:right w:val="nil"/>
            </w:tcBorders>
            <w:vAlign w:val="bottom"/>
          </w:tcPr>
          <w:p>
            <w:pPr>
              <w:widowControl/>
              <w:spacing w:line="240" w:lineRule="auto"/>
              <w:jc w:val="left"/>
              <w:rPr>
                <w:rFonts w:ascii="Arial" w:hAnsi="Arial" w:eastAsia="宋体" w:cs="Arial"/>
                <w:kern w:val="0"/>
                <w:sz w:val="20"/>
                <w:szCs w:val="20"/>
              </w:rPr>
            </w:pPr>
          </w:p>
        </w:tc>
        <w:tc>
          <w:tcPr>
            <w:tcW w:w="3177" w:type="dxa"/>
            <w:gridSpan w:val="2"/>
            <w:tcBorders>
              <w:top w:val="nil"/>
              <w:left w:val="nil"/>
              <w:bottom w:val="single" w:color="auto" w:sz="4" w:space="0"/>
              <w:right w:val="nil"/>
            </w:tcBorders>
            <w:vAlign w:val="bottom"/>
          </w:tcPr>
          <w:p>
            <w:pPr>
              <w:widowControl/>
              <w:spacing w:line="240" w:lineRule="auto"/>
              <w:jc w:val="right"/>
              <w:rPr>
                <w:rFonts w:ascii="宋体" w:hAnsi="宋体" w:eastAsia="宋体" w:cs="Arial"/>
                <w:kern w:val="0"/>
                <w:sz w:val="24"/>
                <w:szCs w:val="24"/>
              </w:rPr>
            </w:pPr>
            <w:r>
              <w:rPr>
                <w:rFonts w:hint="eastAsia" w:ascii="宋体" w:hAnsi="宋体" w:eastAsia="宋体" w:cs="Arial"/>
                <w:kern w:val="0"/>
                <w:sz w:val="24"/>
                <w:szCs w:val="24"/>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425" w:type="dxa"/>
            <w:gridSpan w:val="4"/>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w:t>
            </w:r>
          </w:p>
        </w:tc>
        <w:tc>
          <w:tcPr>
            <w:tcW w:w="992"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本年支出合计</w:t>
            </w:r>
          </w:p>
        </w:tc>
        <w:tc>
          <w:tcPr>
            <w:tcW w:w="993"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基本支出</w:t>
            </w:r>
          </w:p>
        </w:tc>
        <w:tc>
          <w:tcPr>
            <w:tcW w:w="708" w:type="dxa"/>
            <w:vMerge w:val="restart"/>
            <w:tcBorders>
              <w:top w:val="single" w:color="000000" w:sz="8" w:space="0"/>
              <w:left w:val="nil"/>
              <w:bottom w:val="single" w:color="000000"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项目支出</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上缴上级支出</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经营支出</w:t>
            </w:r>
          </w:p>
        </w:tc>
        <w:tc>
          <w:tcPr>
            <w:tcW w:w="204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3" w:type="dxa"/>
            <w:gridSpan w:val="3"/>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支出功能分类科目编码</w:t>
            </w:r>
          </w:p>
        </w:tc>
        <w:tc>
          <w:tcPr>
            <w:tcW w:w="992"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科目名称</w:t>
            </w:r>
          </w:p>
        </w:tc>
        <w:tc>
          <w:tcPr>
            <w:tcW w:w="992"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3"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708" w:type="dxa"/>
            <w:vMerge w:val="continue"/>
            <w:tcBorders>
              <w:top w:val="single" w:color="000000" w:sz="8" w:space="0"/>
              <w:left w:val="nil"/>
              <w:bottom w:val="single" w:color="000000"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20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3" w:type="dxa"/>
            <w:gridSpan w:val="3"/>
            <w:vMerge w:val="continue"/>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2"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2"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3"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708" w:type="dxa"/>
            <w:vMerge w:val="continue"/>
            <w:tcBorders>
              <w:top w:val="single" w:color="000000" w:sz="8" w:space="0"/>
              <w:left w:val="nil"/>
              <w:bottom w:val="single" w:color="000000"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20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3" w:type="dxa"/>
            <w:gridSpan w:val="3"/>
            <w:vMerge w:val="continue"/>
            <w:tcBorders>
              <w:top w:val="single" w:color="000000" w:sz="4" w:space="0"/>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2" w:type="dxa"/>
            <w:vMerge w:val="continue"/>
            <w:tcBorders>
              <w:top w:val="nil"/>
              <w:left w:val="nil"/>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2" w:type="dxa"/>
            <w:vMerge w:val="continue"/>
            <w:tcBorders>
              <w:top w:val="single" w:color="000000" w:sz="8" w:space="0"/>
              <w:left w:val="nil"/>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993" w:type="dxa"/>
            <w:vMerge w:val="continue"/>
            <w:tcBorders>
              <w:top w:val="single" w:color="000000" w:sz="8" w:space="0"/>
              <w:left w:val="nil"/>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708" w:type="dxa"/>
            <w:vMerge w:val="continue"/>
            <w:tcBorders>
              <w:top w:val="single" w:color="000000" w:sz="8"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20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类</w:t>
            </w:r>
          </w:p>
        </w:tc>
        <w:tc>
          <w:tcPr>
            <w:tcW w:w="43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款</w:t>
            </w:r>
          </w:p>
        </w:tc>
        <w:tc>
          <w:tcPr>
            <w:tcW w:w="561"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合计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231.12　</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154.22　</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76.9</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204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行政运行</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136.11</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153.14</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153.14</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204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档案馆</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76.9</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76.9</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c>
          <w:tcPr>
            <w:tcW w:w="204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其他档案事务支出</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99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1.08　</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1.08　</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　</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c>
          <w:tcPr>
            <w:tcW w:w="204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　</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财政拨款收入支出决算总表</w:t>
      </w:r>
    </w:p>
    <w:tbl>
      <w:tblPr>
        <w:tblStyle w:val="6"/>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67"/>
        <w:gridCol w:w="593"/>
        <w:gridCol w:w="236"/>
        <w:gridCol w:w="21"/>
        <w:gridCol w:w="2552"/>
        <w:gridCol w:w="865"/>
        <w:gridCol w:w="514"/>
        <w:gridCol w:w="683"/>
        <w:gridCol w:w="11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229" w:type="dxa"/>
            <w:gridSpan w:val="9"/>
            <w:tcBorders>
              <w:top w:val="nil"/>
              <w:left w:val="nil"/>
              <w:bottom w:val="nil"/>
              <w:right w:val="nil"/>
            </w:tcBorders>
            <w:vAlign w:val="bottom"/>
          </w:tcPr>
          <w:p>
            <w:pPr>
              <w:widowControl/>
              <w:spacing w:line="240" w:lineRule="auto"/>
              <w:jc w:val="center"/>
              <w:rPr>
                <w:rFonts w:ascii="宋体" w:hAnsi="宋体" w:eastAsia="宋体" w:cs="Arial"/>
                <w:kern w:val="0"/>
                <w:sz w:val="44"/>
                <w:szCs w:val="44"/>
              </w:rPr>
            </w:pPr>
            <w:r>
              <w:rPr>
                <w:rFonts w:hint="eastAsia" w:ascii="黑体" w:hAnsi="Arial" w:eastAsia="黑体" w:cs="Arial"/>
                <w:kern w:val="0"/>
                <w:sz w:val="36"/>
                <w:szCs w:val="36"/>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160" w:type="dxa"/>
            <w:gridSpan w:val="2"/>
            <w:tcBorders>
              <w:top w:val="nil"/>
              <w:left w:val="nil"/>
              <w:bottom w:val="nil"/>
              <w:right w:val="nil"/>
            </w:tcBorders>
            <w:vAlign w:val="bottom"/>
          </w:tcPr>
          <w:p>
            <w:pPr>
              <w:widowControl/>
              <w:spacing w:line="240" w:lineRule="auto"/>
              <w:jc w:val="left"/>
              <w:rPr>
                <w:rFonts w:ascii="宋体" w:hAnsi="宋体" w:eastAsia="宋体" w:cs="Arial"/>
                <w:kern w:val="0"/>
                <w:sz w:val="24"/>
                <w:szCs w:val="24"/>
              </w:rPr>
            </w:pPr>
            <w:r>
              <w:rPr>
                <w:rFonts w:hint="eastAsia" w:ascii="宋体" w:hAnsi="宋体" w:eastAsia="宋体" w:cs="Arial"/>
                <w:kern w:val="0"/>
                <w:sz w:val="24"/>
                <w:szCs w:val="24"/>
              </w:rPr>
              <w:t>编制单位：</w:t>
            </w:r>
            <w:r>
              <w:rPr>
                <w:rFonts w:hint="eastAsia" w:ascii="宋体" w:hAnsi="宋体" w:eastAsia="宋体" w:cs="Arial"/>
                <w:kern w:val="0"/>
                <w:sz w:val="22"/>
              </w:rPr>
              <w:t>连城县档案馆</w:t>
            </w:r>
          </w:p>
        </w:tc>
        <w:tc>
          <w:tcPr>
            <w:tcW w:w="236" w:type="dxa"/>
            <w:tcBorders>
              <w:top w:val="nil"/>
              <w:left w:val="nil"/>
              <w:bottom w:val="nil"/>
              <w:right w:val="nil"/>
            </w:tcBorders>
            <w:vAlign w:val="bottom"/>
          </w:tcPr>
          <w:p>
            <w:pPr>
              <w:widowControl/>
              <w:spacing w:line="240" w:lineRule="auto"/>
              <w:jc w:val="center"/>
              <w:rPr>
                <w:rFonts w:ascii="宋体" w:hAnsi="宋体" w:eastAsia="宋体" w:cs="Arial"/>
                <w:kern w:val="0"/>
                <w:sz w:val="24"/>
                <w:szCs w:val="24"/>
              </w:rPr>
            </w:pPr>
          </w:p>
        </w:tc>
        <w:tc>
          <w:tcPr>
            <w:tcW w:w="3438" w:type="dxa"/>
            <w:gridSpan w:val="3"/>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514"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1881" w:type="dxa"/>
            <w:gridSpan w:val="2"/>
            <w:tcBorders>
              <w:top w:val="nil"/>
              <w:left w:val="nil"/>
              <w:bottom w:val="nil"/>
              <w:right w:val="nil"/>
            </w:tcBorders>
            <w:vAlign w:val="bottom"/>
          </w:tcPr>
          <w:p>
            <w:pPr>
              <w:widowControl/>
              <w:spacing w:line="240" w:lineRule="auto"/>
              <w:jc w:val="right"/>
              <w:rPr>
                <w:rFonts w:ascii="宋体" w:hAnsi="宋体" w:eastAsia="宋体" w:cs="Arial"/>
                <w:kern w:val="0"/>
                <w:sz w:val="24"/>
                <w:szCs w:val="24"/>
              </w:rPr>
            </w:pPr>
            <w:r>
              <w:rPr>
                <w:rFonts w:hint="eastAsia" w:ascii="宋体" w:hAnsi="宋体" w:eastAsia="宋体" w:cs="Arial"/>
                <w:kern w:val="0"/>
                <w:sz w:val="24"/>
                <w:szCs w:val="24"/>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gridSpan w:val="4"/>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收     入</w:t>
            </w:r>
          </w:p>
        </w:tc>
        <w:tc>
          <w:tcPr>
            <w:tcW w:w="5812"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67" w:type="dxa"/>
            <w:vMerge w:val="restart"/>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    目</w:t>
            </w:r>
          </w:p>
        </w:tc>
        <w:tc>
          <w:tcPr>
            <w:tcW w:w="850" w:type="dxa"/>
            <w:gridSpan w:val="3"/>
            <w:vMerge w:val="restart"/>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金额</w:t>
            </w:r>
          </w:p>
        </w:tc>
        <w:tc>
          <w:tcPr>
            <w:tcW w:w="2552"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项目（按功能分类）</w:t>
            </w:r>
          </w:p>
        </w:tc>
        <w:tc>
          <w:tcPr>
            <w:tcW w:w="865" w:type="dxa"/>
            <w:vMerge w:val="restart"/>
            <w:tcBorders>
              <w:top w:val="nil"/>
              <w:left w:val="single" w:color="auto" w:sz="4" w:space="0"/>
              <w:bottom w:val="single" w:color="000000"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合计</w:t>
            </w:r>
          </w:p>
        </w:tc>
        <w:tc>
          <w:tcPr>
            <w:tcW w:w="1197"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一般公共预算财政拨款</w:t>
            </w:r>
          </w:p>
        </w:tc>
        <w:tc>
          <w:tcPr>
            <w:tcW w:w="1198"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政府性基金预算财政拨款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67" w:type="dxa"/>
            <w:vMerge w:val="continue"/>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850" w:type="dxa"/>
            <w:gridSpan w:val="3"/>
            <w:vMerge w:val="continue"/>
            <w:tcBorders>
              <w:top w:val="nil"/>
              <w:left w:val="nil"/>
              <w:bottom w:val="single" w:color="000000" w:sz="4" w:space="0"/>
              <w:right w:val="nil"/>
            </w:tcBorders>
            <w:vAlign w:val="center"/>
          </w:tcPr>
          <w:p>
            <w:pPr>
              <w:widowControl/>
              <w:spacing w:line="240" w:lineRule="auto"/>
              <w:jc w:val="left"/>
              <w:rPr>
                <w:rFonts w:ascii="宋体" w:hAnsi="宋体" w:eastAsia="宋体" w:cs="Arial"/>
                <w:kern w:val="0"/>
                <w:sz w:val="22"/>
              </w:rPr>
            </w:pPr>
          </w:p>
        </w:tc>
        <w:tc>
          <w:tcPr>
            <w:tcW w:w="2552"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865"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1197"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1198"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一、一般公共预算财政拨款</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143.61</w:t>
            </w: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一、一般公共服务支出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231.12</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231.12</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二、政府性基金预算财政拨款</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二、外交支出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三、国防支出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四、公共安全支出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五、教育支出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六、科学技术支出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七、文化旅游体育与传媒支出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八、社会保障和就业支出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九、卫生健康支出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十、节能环保支出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十一、城乡社区支出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十二、农林水支出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十三、交通运输支出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十四、资源勘探信息等支出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十五、商业服务业等支出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十六、金融支出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十七、援助其他地区支出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十八、自然资源海洋气象等支出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十九、住房保障支出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二十、粮油物资储备支出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二十一、灾害防治及应急管理支出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000000"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二十二、其他支出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nil"/>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nil"/>
              <w:left w:val="nil"/>
              <w:bottom w:val="single" w:color="auto" w:sz="4" w:space="0"/>
              <w:right w:val="nil"/>
            </w:tcBorders>
            <w:vAlign w:val="center"/>
          </w:tcPr>
          <w:p>
            <w:pPr>
              <w:widowControl/>
              <w:spacing w:line="240" w:lineRule="auto"/>
              <w:jc w:val="center"/>
              <w:rPr>
                <w:rFonts w:ascii="宋体" w:hAnsi="宋体" w:eastAsia="宋体" w:cs="Arial"/>
                <w:kern w:val="0"/>
                <w:sz w:val="22"/>
              </w:rPr>
            </w:pPr>
          </w:p>
        </w:tc>
        <w:tc>
          <w:tcPr>
            <w:tcW w:w="2552" w:type="dxa"/>
            <w:tcBorders>
              <w:top w:val="nil"/>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二十三、债务还本支出</w:t>
            </w:r>
          </w:p>
        </w:tc>
        <w:tc>
          <w:tcPr>
            <w:tcW w:w="86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nil"/>
              <w:left w:val="nil"/>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 w:val="22"/>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p>
        </w:tc>
        <w:tc>
          <w:tcPr>
            <w:tcW w:w="255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二十四、债务付息支出</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 w:val="22"/>
              </w:rPr>
            </w:pPr>
            <w:r>
              <w:rPr>
                <w:rFonts w:hint="eastAsia" w:ascii="宋体" w:hAnsi="宋体" w:eastAsia="宋体" w:cs="Arial"/>
                <w:b/>
                <w:bCs/>
                <w:kern w:val="0"/>
                <w:sz w:val="22"/>
              </w:rPr>
              <w:t>本年收入合计</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143.61</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 w:val="22"/>
              </w:rPr>
            </w:pPr>
            <w:r>
              <w:rPr>
                <w:rFonts w:hint="eastAsia" w:ascii="宋体" w:hAnsi="宋体" w:eastAsia="宋体" w:cs="Arial"/>
                <w:b/>
                <w:bCs/>
                <w:kern w:val="0"/>
                <w:sz w:val="22"/>
              </w:rPr>
              <w:t>本年支出合计</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Cs w:val="21"/>
              </w:rPr>
            </w:pPr>
            <w:r>
              <w:rPr>
                <w:rFonts w:hint="eastAsia" w:ascii="宋体" w:hAnsi="宋体" w:eastAsia="宋体" w:cs="Arial"/>
                <w:b/>
                <w:bCs/>
                <w:kern w:val="0"/>
                <w:szCs w:val="21"/>
              </w:rPr>
              <w:t>231.12</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231.12</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年初财政拨款结转和结余</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235.48</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年末财政拨款结转和结余</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147.97</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147.97</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一、一般公共预算财政拨款</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235.48</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二、政府性基金预算财政拨款</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0.00</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0.00</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0.00</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56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Cs w:val="21"/>
              </w:rPr>
            </w:pPr>
            <w:r>
              <w:rPr>
                <w:rFonts w:hint="eastAsia" w:ascii="宋体" w:hAnsi="宋体" w:eastAsia="宋体" w:cs="Arial"/>
                <w:b/>
                <w:bCs/>
                <w:kern w:val="0"/>
                <w:szCs w:val="21"/>
              </w:rPr>
              <w:t>总计</w:t>
            </w:r>
          </w:p>
        </w:tc>
        <w:tc>
          <w:tcPr>
            <w:tcW w:w="85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379.09</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Cs w:val="21"/>
              </w:rPr>
            </w:pPr>
            <w:r>
              <w:rPr>
                <w:rFonts w:hint="eastAsia" w:ascii="宋体" w:hAnsi="宋体" w:eastAsia="宋体" w:cs="Arial"/>
                <w:b/>
                <w:bCs/>
                <w:kern w:val="0"/>
                <w:szCs w:val="21"/>
              </w:rPr>
              <w:t>总计</w:t>
            </w:r>
          </w:p>
        </w:tc>
        <w:tc>
          <w:tcPr>
            <w:tcW w:w="86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b/>
                <w:bCs/>
                <w:kern w:val="0"/>
                <w:szCs w:val="21"/>
              </w:rPr>
            </w:pPr>
            <w:r>
              <w:rPr>
                <w:rFonts w:hint="eastAsia" w:ascii="宋体" w:hAnsi="宋体" w:eastAsia="宋体" w:cs="Arial"/>
                <w:b/>
                <w:bCs/>
                <w:kern w:val="0"/>
                <w:szCs w:val="21"/>
              </w:rPr>
              <w:t>379.09</w:t>
            </w:r>
          </w:p>
        </w:tc>
        <w:tc>
          <w:tcPr>
            <w:tcW w:w="11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Cs w:val="21"/>
              </w:rPr>
            </w:pPr>
            <w:r>
              <w:rPr>
                <w:rFonts w:hint="eastAsia" w:ascii="宋体" w:hAnsi="宋体" w:eastAsia="宋体" w:cs="Arial"/>
                <w:kern w:val="0"/>
                <w:szCs w:val="21"/>
              </w:rPr>
              <w:t>379.09</w:t>
            </w:r>
          </w:p>
        </w:tc>
        <w:tc>
          <w:tcPr>
            <w:tcW w:w="1198"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rPr>
                <w:rFonts w:ascii="宋体" w:hAnsi="宋体" w:cs="Arial"/>
                <w:kern w:val="0"/>
                <w:szCs w:val="21"/>
              </w:rPr>
            </w:pPr>
            <w:r>
              <w:rPr>
                <w:rFonts w:hint="eastAsia" w:ascii="宋体" w:hAnsi="宋体" w:cs="Arial"/>
                <w:kern w:val="0"/>
                <w:szCs w:val="21"/>
              </w:rPr>
              <w:t>0.00</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rPr>
          <w:rFonts w:ascii="黑体" w:hAnsi="仿宋" w:eastAsia="黑体"/>
          <w:sz w:val="32"/>
          <w:szCs w:val="32"/>
        </w:rPr>
      </w:pPr>
      <w:r>
        <w:rPr>
          <w:rFonts w:hint="eastAsia" w:ascii="黑体" w:hAnsi="仿宋" w:eastAsia="黑体"/>
          <w:sz w:val="32"/>
          <w:szCs w:val="32"/>
        </w:rPr>
        <w:br w:type="page"/>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一般公共预算财政拨款支出决算表</w:t>
      </w:r>
    </w:p>
    <w:tbl>
      <w:tblPr>
        <w:tblStyle w:val="6"/>
        <w:tblW w:w="8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1"/>
        <w:gridCol w:w="1985"/>
        <w:gridCol w:w="1134"/>
        <w:gridCol w:w="1150"/>
        <w:gridCol w:w="409"/>
        <w:gridCol w:w="2208"/>
        <w:gridCol w:w="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540" w:hRule="atLeast"/>
        </w:trPr>
        <w:tc>
          <w:tcPr>
            <w:tcW w:w="8177" w:type="dxa"/>
            <w:gridSpan w:val="6"/>
            <w:tcBorders>
              <w:top w:val="nil"/>
              <w:left w:val="nil"/>
              <w:bottom w:val="nil"/>
              <w:right w:val="nil"/>
            </w:tcBorders>
            <w:vAlign w:val="bottom"/>
          </w:tcPr>
          <w:p>
            <w:pPr>
              <w:widowControl/>
              <w:spacing w:line="240" w:lineRule="auto"/>
              <w:jc w:val="center"/>
              <w:rPr>
                <w:rFonts w:ascii="黑体" w:hAnsi="Arial" w:eastAsia="黑体" w:cs="Arial"/>
                <w:kern w:val="0"/>
                <w:sz w:val="44"/>
                <w:szCs w:val="44"/>
              </w:rPr>
            </w:pPr>
            <w:r>
              <w:rPr>
                <w:rFonts w:hint="eastAsia" w:ascii="黑体" w:hAnsi="Arial" w:eastAsia="黑体" w:cs="Arial"/>
                <w:kern w:val="0"/>
                <w:sz w:val="36"/>
                <w:szCs w:val="36"/>
              </w:rPr>
              <w:t>一般公共财政拨款支出决算表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276" w:type="dxa"/>
            <w:gridSpan w:val="2"/>
            <w:tcBorders>
              <w:top w:val="nil"/>
              <w:left w:val="nil"/>
              <w:bottom w:val="nil"/>
              <w:right w:val="nil"/>
            </w:tcBorders>
            <w:vAlign w:val="center"/>
          </w:tcPr>
          <w:p>
            <w:pPr>
              <w:widowControl/>
              <w:spacing w:line="240" w:lineRule="auto"/>
              <w:jc w:val="left"/>
              <w:rPr>
                <w:rFonts w:ascii="宋体" w:hAnsi="宋体" w:eastAsia="宋体" w:cs="Arial"/>
                <w:kern w:val="0"/>
                <w:sz w:val="24"/>
                <w:szCs w:val="24"/>
              </w:rPr>
            </w:pPr>
            <w:r>
              <w:rPr>
                <w:rFonts w:hint="eastAsia" w:ascii="宋体" w:hAnsi="宋体" w:eastAsia="宋体" w:cs="Arial"/>
                <w:kern w:val="0"/>
                <w:sz w:val="24"/>
                <w:szCs w:val="24"/>
              </w:rPr>
              <w:t>编制单位：</w:t>
            </w:r>
            <w:r>
              <w:rPr>
                <w:rFonts w:hint="eastAsia" w:ascii="宋体" w:hAnsi="宋体" w:eastAsia="宋体" w:cs="Arial"/>
                <w:kern w:val="0"/>
                <w:sz w:val="22"/>
              </w:rPr>
              <w:t>连城县档案馆</w:t>
            </w:r>
          </w:p>
        </w:tc>
        <w:tc>
          <w:tcPr>
            <w:tcW w:w="2284" w:type="dxa"/>
            <w:gridSpan w:val="2"/>
            <w:tcBorders>
              <w:top w:val="nil"/>
              <w:left w:val="nil"/>
              <w:bottom w:val="nil"/>
              <w:right w:val="nil"/>
            </w:tcBorders>
            <w:vAlign w:val="center"/>
          </w:tcPr>
          <w:p>
            <w:pPr>
              <w:widowControl/>
              <w:spacing w:line="240" w:lineRule="auto"/>
              <w:jc w:val="right"/>
              <w:rPr>
                <w:rFonts w:ascii="宋体" w:hAnsi="宋体" w:eastAsia="宋体" w:cs="Arial"/>
                <w:kern w:val="0"/>
                <w:sz w:val="24"/>
                <w:szCs w:val="24"/>
              </w:rPr>
            </w:pPr>
          </w:p>
        </w:tc>
        <w:tc>
          <w:tcPr>
            <w:tcW w:w="2656" w:type="dxa"/>
            <w:gridSpan w:val="3"/>
            <w:tcBorders>
              <w:top w:val="nil"/>
              <w:left w:val="nil"/>
              <w:bottom w:val="nil"/>
              <w:right w:val="nil"/>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510" w:hRule="atLeast"/>
        </w:trPr>
        <w:tc>
          <w:tcPr>
            <w:tcW w:w="327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4"/>
                <w:szCs w:val="24"/>
              </w:rPr>
            </w:pPr>
            <w:r>
              <w:rPr>
                <w:rFonts w:hint="eastAsia" w:ascii="宋体" w:hAnsi="宋体" w:eastAsia="宋体" w:cs="Arial"/>
                <w:kern w:val="0"/>
                <w:sz w:val="24"/>
                <w:szCs w:val="24"/>
              </w:rPr>
              <w:t>项   目</w:t>
            </w:r>
          </w:p>
        </w:tc>
        <w:tc>
          <w:tcPr>
            <w:tcW w:w="4901" w:type="dxa"/>
            <w:gridSpan w:val="4"/>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4"/>
                <w:szCs w:val="24"/>
              </w:rPr>
            </w:pPr>
            <w:r>
              <w:rPr>
                <w:rFonts w:hint="eastAsia" w:ascii="宋体" w:hAnsi="宋体" w:eastAsia="宋体" w:cs="Arial"/>
                <w:kern w:val="0"/>
                <w:sz w:val="24"/>
                <w:szCs w:val="24"/>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540" w:hRule="atLeast"/>
        </w:trPr>
        <w:tc>
          <w:tcPr>
            <w:tcW w:w="1291" w:type="dxa"/>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功能分类科目编码</w:t>
            </w:r>
          </w:p>
        </w:tc>
        <w:tc>
          <w:tcPr>
            <w:tcW w:w="198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科目名称</w:t>
            </w:r>
          </w:p>
        </w:tc>
        <w:tc>
          <w:tcPr>
            <w:tcW w:w="1134"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小计</w:t>
            </w:r>
          </w:p>
        </w:tc>
        <w:tc>
          <w:tcPr>
            <w:tcW w:w="1559" w:type="dxa"/>
            <w:gridSpan w:val="2"/>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基本支出</w:t>
            </w:r>
          </w:p>
        </w:tc>
        <w:tc>
          <w:tcPr>
            <w:tcW w:w="2208"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435" w:hRule="atLeast"/>
        </w:trPr>
        <w:tc>
          <w:tcPr>
            <w:tcW w:w="3276" w:type="dxa"/>
            <w:gridSpan w:val="2"/>
            <w:tcBorders>
              <w:top w:val="single" w:color="auto" w:sz="4" w:space="0"/>
              <w:left w:val="single" w:color="auto" w:sz="4" w:space="0"/>
              <w:bottom w:val="single" w:color="auto"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合计</w:t>
            </w:r>
          </w:p>
        </w:tc>
        <w:tc>
          <w:tcPr>
            <w:tcW w:w="1134"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231.12　</w:t>
            </w:r>
          </w:p>
        </w:tc>
        <w:tc>
          <w:tcPr>
            <w:tcW w:w="1559"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154.22　</w:t>
            </w:r>
          </w:p>
        </w:tc>
        <w:tc>
          <w:tcPr>
            <w:tcW w:w="2208"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76.9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405" w:hRule="atLeast"/>
        </w:trPr>
        <w:tc>
          <w:tcPr>
            <w:tcW w:w="1291"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2012601</w:t>
            </w:r>
          </w:p>
        </w:tc>
        <w:tc>
          <w:tcPr>
            <w:tcW w:w="1985"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行政运行</w:t>
            </w:r>
          </w:p>
        </w:tc>
        <w:tc>
          <w:tcPr>
            <w:tcW w:w="1134"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153.14</w:t>
            </w:r>
          </w:p>
        </w:tc>
        <w:tc>
          <w:tcPr>
            <w:tcW w:w="1559"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153.14</w:t>
            </w:r>
          </w:p>
        </w:tc>
        <w:tc>
          <w:tcPr>
            <w:tcW w:w="2208"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405" w:hRule="atLeast"/>
        </w:trPr>
        <w:tc>
          <w:tcPr>
            <w:tcW w:w="1291"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2012604</w:t>
            </w:r>
          </w:p>
        </w:tc>
        <w:tc>
          <w:tcPr>
            <w:tcW w:w="1985"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档案馆</w:t>
            </w:r>
          </w:p>
        </w:tc>
        <w:tc>
          <w:tcPr>
            <w:tcW w:w="1134"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76.9</w:t>
            </w:r>
          </w:p>
        </w:tc>
        <w:tc>
          <w:tcPr>
            <w:tcW w:w="1559"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w:t>
            </w:r>
          </w:p>
        </w:tc>
        <w:tc>
          <w:tcPr>
            <w:tcW w:w="2208"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9" w:type="dxa"/>
          <w:trHeight w:val="405" w:hRule="atLeast"/>
        </w:trPr>
        <w:tc>
          <w:tcPr>
            <w:tcW w:w="1291" w:type="dxa"/>
            <w:tcBorders>
              <w:top w:val="nil"/>
              <w:left w:val="single" w:color="auto" w:sz="4" w:space="0"/>
              <w:bottom w:val="single" w:color="auto" w:sz="4" w:space="0"/>
              <w:right w:val="single" w:color="auto" w:sz="4" w:space="0"/>
            </w:tcBorders>
            <w:vAlign w:val="center"/>
          </w:tcPr>
          <w:p>
            <w:pPr>
              <w:widowControl/>
              <w:spacing w:line="240" w:lineRule="auto"/>
              <w:rPr>
                <w:rFonts w:ascii="宋体" w:hAnsi="宋体" w:eastAsia="宋体" w:cs="Arial"/>
                <w:kern w:val="0"/>
                <w:sz w:val="22"/>
              </w:rPr>
            </w:pPr>
            <w:r>
              <w:rPr>
                <w:rFonts w:hint="eastAsia" w:ascii="宋体" w:hAnsi="宋体" w:eastAsia="宋体" w:cs="Arial"/>
                <w:kern w:val="0"/>
                <w:sz w:val="22"/>
              </w:rPr>
              <w:t>2012609</w:t>
            </w:r>
          </w:p>
        </w:tc>
        <w:tc>
          <w:tcPr>
            <w:tcW w:w="1985"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其他档案事务支出</w:t>
            </w:r>
          </w:p>
        </w:tc>
        <w:tc>
          <w:tcPr>
            <w:tcW w:w="1134"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1.08　</w:t>
            </w:r>
          </w:p>
        </w:tc>
        <w:tc>
          <w:tcPr>
            <w:tcW w:w="1559"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1.08　</w:t>
            </w:r>
          </w:p>
        </w:tc>
        <w:tc>
          <w:tcPr>
            <w:tcW w:w="2208"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一般公共预算财政拨款支出决算明细表</w:t>
      </w:r>
    </w:p>
    <w:tbl>
      <w:tblPr>
        <w:tblStyle w:val="6"/>
        <w:tblW w:w="83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3"/>
        <w:gridCol w:w="4111"/>
        <w:gridCol w:w="2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379" w:type="dxa"/>
            <w:gridSpan w:val="3"/>
            <w:tcBorders>
              <w:top w:val="nil"/>
              <w:left w:val="nil"/>
              <w:bottom w:val="nil"/>
              <w:right w:val="nil"/>
            </w:tcBorders>
            <w:vAlign w:val="center"/>
          </w:tcPr>
          <w:p>
            <w:pPr>
              <w:widowControl/>
              <w:spacing w:line="240" w:lineRule="auto"/>
              <w:jc w:val="center"/>
              <w:rPr>
                <w:rFonts w:ascii="黑体" w:hAnsi="Arial" w:eastAsia="黑体" w:cs="Arial"/>
                <w:kern w:val="0"/>
                <w:sz w:val="44"/>
                <w:szCs w:val="44"/>
              </w:rPr>
            </w:pPr>
            <w:r>
              <w:rPr>
                <w:rFonts w:hint="eastAsia" w:ascii="黑体" w:hAnsi="Arial" w:eastAsia="黑体" w:cs="Arial"/>
                <w:kern w:val="0"/>
                <w:sz w:val="36"/>
                <w:szCs w:val="36"/>
              </w:rPr>
              <w:t>一般公共预算财政拨款支出决算明细表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544" w:type="dxa"/>
            <w:gridSpan w:val="2"/>
            <w:tcBorders>
              <w:top w:val="nil"/>
              <w:left w:val="nil"/>
              <w:bottom w:val="single" w:color="000000" w:sz="4" w:space="0"/>
              <w:right w:val="nil"/>
            </w:tcBorders>
            <w:vAlign w:val="center"/>
          </w:tcPr>
          <w:p>
            <w:pPr>
              <w:widowControl/>
              <w:spacing w:line="240" w:lineRule="auto"/>
              <w:jc w:val="left"/>
              <w:rPr>
                <w:rFonts w:ascii="Arial" w:hAnsi="Arial" w:eastAsia="宋体" w:cs="Arial"/>
                <w:kern w:val="0"/>
                <w:sz w:val="20"/>
                <w:szCs w:val="20"/>
              </w:rPr>
            </w:pPr>
            <w:r>
              <w:rPr>
                <w:rFonts w:hint="eastAsia" w:ascii="宋体" w:hAnsi="宋体" w:eastAsia="宋体" w:cs="Arial"/>
                <w:kern w:val="0"/>
                <w:sz w:val="22"/>
              </w:rPr>
              <w:t>编制单位：连城县档案馆</w:t>
            </w:r>
          </w:p>
        </w:tc>
        <w:tc>
          <w:tcPr>
            <w:tcW w:w="2835" w:type="dxa"/>
            <w:tcBorders>
              <w:top w:val="nil"/>
              <w:left w:val="nil"/>
              <w:bottom w:val="single" w:color="000000" w:sz="4" w:space="0"/>
              <w:right w:val="nil"/>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544" w:type="dxa"/>
            <w:gridSpan w:val="2"/>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    目</w:t>
            </w:r>
          </w:p>
        </w:tc>
        <w:tc>
          <w:tcPr>
            <w:tcW w:w="2835" w:type="dxa"/>
            <w:vMerge w:val="restart"/>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 xml:space="preserve">合     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433" w:type="dxa"/>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经济分类科目编码</w:t>
            </w:r>
          </w:p>
        </w:tc>
        <w:tc>
          <w:tcPr>
            <w:tcW w:w="4111"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科目名称</w:t>
            </w:r>
          </w:p>
        </w:tc>
        <w:tc>
          <w:tcPr>
            <w:tcW w:w="2835" w:type="dxa"/>
            <w:vMerge w:val="continue"/>
            <w:tcBorders>
              <w:top w:val="single" w:color="000000" w:sz="8"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544" w:type="dxa"/>
            <w:gridSpan w:val="2"/>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合         计</w:t>
            </w:r>
          </w:p>
        </w:tc>
        <w:tc>
          <w:tcPr>
            <w:tcW w:w="2835"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231.12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433"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301</w:t>
            </w:r>
          </w:p>
        </w:tc>
        <w:tc>
          <w:tcPr>
            <w:tcW w:w="4111"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工资福利支出</w:t>
            </w:r>
          </w:p>
        </w:tc>
        <w:tc>
          <w:tcPr>
            <w:tcW w:w="2835"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123.52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433"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302</w:t>
            </w:r>
          </w:p>
        </w:tc>
        <w:tc>
          <w:tcPr>
            <w:tcW w:w="4111"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商品和服务支出</w:t>
            </w:r>
          </w:p>
        </w:tc>
        <w:tc>
          <w:tcPr>
            <w:tcW w:w="2835"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40.43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1433" w:type="dxa"/>
            <w:tcBorders>
              <w:top w:val="nil"/>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303</w:t>
            </w:r>
          </w:p>
        </w:tc>
        <w:tc>
          <w:tcPr>
            <w:tcW w:w="4111" w:type="dxa"/>
            <w:tcBorders>
              <w:top w:val="nil"/>
              <w:left w:val="nil"/>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对个人和家庭的补助</w:t>
            </w:r>
          </w:p>
        </w:tc>
        <w:tc>
          <w:tcPr>
            <w:tcW w:w="2835" w:type="dxa"/>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143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308</w:t>
            </w:r>
          </w:p>
        </w:tc>
        <w:tc>
          <w:tcPr>
            <w:tcW w:w="41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资本性支出（基本建设）</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143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310</w:t>
            </w:r>
          </w:p>
        </w:tc>
        <w:tc>
          <w:tcPr>
            <w:tcW w:w="41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资本性支出</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67.17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433" w:type="dxa"/>
            <w:tcBorders>
              <w:top w:val="single" w:color="auto" w:sz="4" w:space="0"/>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311</w:t>
            </w:r>
          </w:p>
        </w:tc>
        <w:tc>
          <w:tcPr>
            <w:tcW w:w="4111" w:type="dxa"/>
            <w:tcBorders>
              <w:top w:val="single" w:color="auto" w:sz="4" w:space="0"/>
              <w:left w:val="nil"/>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对企业补贴（基本建设）</w:t>
            </w:r>
          </w:p>
        </w:tc>
        <w:tc>
          <w:tcPr>
            <w:tcW w:w="2835" w:type="dxa"/>
            <w:tcBorders>
              <w:top w:val="single" w:color="auto" w:sz="4" w:space="0"/>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143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312</w:t>
            </w:r>
          </w:p>
        </w:tc>
        <w:tc>
          <w:tcPr>
            <w:tcW w:w="41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对企业补贴</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1433"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307</w:t>
            </w:r>
          </w:p>
        </w:tc>
        <w:tc>
          <w:tcPr>
            <w:tcW w:w="4111" w:type="dxa"/>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债务利息及费用支出</w:t>
            </w:r>
          </w:p>
        </w:tc>
        <w:tc>
          <w:tcPr>
            <w:tcW w:w="2835" w:type="dxa"/>
            <w:tcBorders>
              <w:top w:val="single" w:color="auto" w:sz="4" w:space="0"/>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1433"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399</w:t>
            </w:r>
          </w:p>
        </w:tc>
        <w:tc>
          <w:tcPr>
            <w:tcW w:w="4111"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其他支出</w:t>
            </w:r>
          </w:p>
        </w:tc>
        <w:tc>
          <w:tcPr>
            <w:tcW w:w="283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9"/>
        <w:numPr>
          <w:ilvl w:val="0"/>
          <w:numId w:val="1"/>
        </w:numPr>
        <w:ind w:firstLineChars="0"/>
        <w:jc w:val="left"/>
        <w:rPr>
          <w:rFonts w:ascii="黑体" w:hAnsi="仿宋" w:eastAsia="黑体"/>
          <w:sz w:val="32"/>
          <w:szCs w:val="32"/>
        </w:rPr>
      </w:pPr>
      <w:r>
        <w:rPr>
          <w:rFonts w:hint="eastAsia" w:ascii="黑体" w:hAnsi="仿宋" w:eastAsia="黑体"/>
          <w:sz w:val="32"/>
          <w:szCs w:val="32"/>
        </w:rPr>
        <w:t xml:space="preserve">一般公共预算财政拨款基本支出决算表 </w:t>
      </w:r>
    </w:p>
    <w:tbl>
      <w:tblPr>
        <w:tblStyle w:val="6"/>
        <w:tblW w:w="9961" w:type="dxa"/>
        <w:tblInd w:w="-6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1620"/>
        <w:gridCol w:w="1005"/>
        <w:gridCol w:w="378"/>
        <w:gridCol w:w="543"/>
        <w:gridCol w:w="360"/>
        <w:gridCol w:w="936"/>
        <w:gridCol w:w="845"/>
        <w:gridCol w:w="447"/>
        <w:gridCol w:w="527"/>
        <w:gridCol w:w="188"/>
        <w:gridCol w:w="1254"/>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961" w:type="dxa"/>
            <w:gridSpan w:val="13"/>
            <w:tcBorders>
              <w:top w:val="nil"/>
              <w:left w:val="nil"/>
              <w:bottom w:val="nil"/>
              <w:right w:val="nil"/>
            </w:tcBorders>
            <w:vAlign w:val="center"/>
          </w:tcPr>
          <w:p>
            <w:pPr>
              <w:widowControl/>
              <w:spacing w:line="240" w:lineRule="auto"/>
              <w:jc w:val="center"/>
              <w:rPr>
                <w:rFonts w:ascii="黑体" w:hAnsi="Arial" w:eastAsia="黑体" w:cs="Arial"/>
                <w:kern w:val="0"/>
                <w:sz w:val="44"/>
                <w:szCs w:val="44"/>
              </w:rPr>
            </w:pPr>
            <w:r>
              <w:rPr>
                <w:rFonts w:hint="eastAsia" w:ascii="黑体" w:hAnsi="Arial" w:eastAsia="黑体" w:cs="Arial"/>
                <w:kern w:val="0"/>
                <w:sz w:val="36"/>
                <w:szCs w:val="36"/>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660" w:type="dxa"/>
            <w:gridSpan w:val="3"/>
            <w:tcBorders>
              <w:top w:val="nil"/>
              <w:left w:val="nil"/>
              <w:bottom w:val="nil"/>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编制单位：连城县档案馆</w:t>
            </w:r>
          </w:p>
        </w:tc>
        <w:tc>
          <w:tcPr>
            <w:tcW w:w="378"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903" w:type="dxa"/>
            <w:gridSpan w:val="2"/>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1781" w:type="dxa"/>
            <w:gridSpan w:val="2"/>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447"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715" w:type="dxa"/>
            <w:gridSpan w:val="2"/>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2077" w:type="dxa"/>
            <w:gridSpan w:val="2"/>
            <w:tcBorders>
              <w:top w:val="nil"/>
              <w:left w:val="nil"/>
              <w:bottom w:val="nil"/>
              <w:right w:val="nil"/>
            </w:tcBorders>
            <w:vAlign w:val="bottom"/>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660"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人员经费</w:t>
            </w:r>
          </w:p>
        </w:tc>
        <w:tc>
          <w:tcPr>
            <w:tcW w:w="6301" w:type="dxa"/>
            <w:gridSpan w:val="10"/>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35"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经济分类科目</w:t>
            </w:r>
            <w:r>
              <w:rPr>
                <w:rFonts w:hint="eastAsia" w:ascii="宋体" w:hAnsi="宋体" w:eastAsia="宋体" w:cs="Arial"/>
                <w:kern w:val="0"/>
                <w:sz w:val="20"/>
                <w:szCs w:val="20"/>
              </w:rPr>
              <w:br w:type="textWrapping"/>
            </w:r>
            <w:r>
              <w:rPr>
                <w:rFonts w:hint="eastAsia" w:ascii="宋体" w:hAnsi="宋体" w:eastAsia="宋体" w:cs="Arial"/>
                <w:kern w:val="0"/>
                <w:sz w:val="20"/>
                <w:szCs w:val="20"/>
              </w:rPr>
              <w:t>编码</w:t>
            </w:r>
          </w:p>
        </w:tc>
        <w:tc>
          <w:tcPr>
            <w:tcW w:w="1620"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科目名称</w:t>
            </w:r>
          </w:p>
        </w:tc>
        <w:tc>
          <w:tcPr>
            <w:tcW w:w="1005"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金额</w:t>
            </w:r>
          </w:p>
        </w:tc>
        <w:tc>
          <w:tcPr>
            <w:tcW w:w="921"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经济分类科目</w:t>
            </w:r>
            <w:r>
              <w:rPr>
                <w:rFonts w:hint="eastAsia" w:ascii="宋体" w:hAnsi="宋体" w:eastAsia="宋体" w:cs="Arial"/>
                <w:kern w:val="0"/>
                <w:sz w:val="20"/>
                <w:szCs w:val="20"/>
              </w:rPr>
              <w:br w:type="textWrapping"/>
            </w:r>
            <w:r>
              <w:rPr>
                <w:rFonts w:hint="eastAsia" w:ascii="宋体" w:hAnsi="宋体" w:eastAsia="宋体" w:cs="Arial"/>
                <w:kern w:val="0"/>
                <w:sz w:val="20"/>
                <w:szCs w:val="20"/>
              </w:rPr>
              <w:t>编码</w:t>
            </w:r>
          </w:p>
        </w:tc>
        <w:tc>
          <w:tcPr>
            <w:tcW w:w="1296"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科目名称</w:t>
            </w:r>
          </w:p>
        </w:tc>
        <w:tc>
          <w:tcPr>
            <w:tcW w:w="845"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金额</w:t>
            </w:r>
          </w:p>
        </w:tc>
        <w:tc>
          <w:tcPr>
            <w:tcW w:w="974"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经济分类科目</w:t>
            </w:r>
            <w:r>
              <w:rPr>
                <w:rFonts w:hint="eastAsia" w:ascii="宋体" w:hAnsi="宋体" w:eastAsia="宋体" w:cs="Arial"/>
                <w:kern w:val="0"/>
                <w:sz w:val="20"/>
                <w:szCs w:val="20"/>
              </w:rPr>
              <w:br w:type="textWrapping"/>
            </w:r>
            <w:r>
              <w:rPr>
                <w:rFonts w:hint="eastAsia" w:ascii="宋体" w:hAnsi="宋体" w:eastAsia="宋体" w:cs="Arial"/>
                <w:kern w:val="0"/>
                <w:sz w:val="20"/>
                <w:szCs w:val="20"/>
              </w:rPr>
              <w:t>编码</w:t>
            </w:r>
          </w:p>
        </w:tc>
        <w:tc>
          <w:tcPr>
            <w:tcW w:w="1442"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科目名称</w:t>
            </w:r>
          </w:p>
        </w:tc>
        <w:tc>
          <w:tcPr>
            <w:tcW w:w="823" w:type="dxa"/>
            <w:vMerge w:val="restart"/>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35"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620"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005"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921"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296"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845"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974"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442"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823"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35"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620"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005"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921"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296"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845"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974"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1442"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c>
          <w:tcPr>
            <w:tcW w:w="823"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工资福利支出</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123.52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商品和服务支出</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30.7</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资本性支出</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30101</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基本工资</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34.61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30201</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办公费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2.76</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31001</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房屋建筑物购建</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30102</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津贴补贴</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22.47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30202</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印刷费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31002</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办公设备购置</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30103</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奖金</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32.54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30203</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咨询费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31003</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专用设备购置</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30106</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伙食补助费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4.41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30204</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手续费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0.17</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31005</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基础设施建设</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30107</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绩效工资</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30205</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水费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31006</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大型修缮</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30108</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机关事业单位基本养老保险缴费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10.33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30206</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电费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2.59</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31007</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信息网络及软件购置更新</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30109</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职业年金缴费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30207</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邮电费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1.94</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31008</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物资储备</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30110</w:t>
            </w:r>
          </w:p>
        </w:tc>
        <w:tc>
          <w:tcPr>
            <w:tcW w:w="1620"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xml:space="preserve">   </w:t>
            </w:r>
            <w:r>
              <w:rPr>
                <w:rFonts w:hint="eastAsia" w:ascii="宋体" w:hAnsi="宋体" w:eastAsia="宋体" w:cs="Arial"/>
                <w:kern w:val="0"/>
                <w:sz w:val="20"/>
                <w:szCs w:val="20"/>
              </w:rPr>
              <w:t>职工基本医疗保险缴费</w:t>
            </w:r>
          </w:p>
        </w:tc>
        <w:tc>
          <w:tcPr>
            <w:tcW w:w="100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4.79</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302019</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取暖费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31009</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土地补偿</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30111</w:t>
            </w:r>
          </w:p>
        </w:tc>
        <w:tc>
          <w:tcPr>
            <w:tcW w:w="1620"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xml:space="preserve">   </w:t>
            </w:r>
            <w:r>
              <w:rPr>
                <w:rFonts w:hint="eastAsia" w:ascii="宋体" w:hAnsi="宋体" w:eastAsia="宋体" w:cs="Arial"/>
                <w:kern w:val="0"/>
                <w:sz w:val="20"/>
                <w:szCs w:val="20"/>
              </w:rPr>
              <w:t>公务员医疗补助缴费</w:t>
            </w:r>
          </w:p>
        </w:tc>
        <w:tc>
          <w:tcPr>
            <w:tcW w:w="100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3.59</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30209</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物业管理费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31010</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安置补助</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30112</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其他社会保障缴费</w:t>
            </w:r>
          </w:p>
        </w:tc>
        <w:tc>
          <w:tcPr>
            <w:tcW w:w="100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0.63</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30211</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差旅费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0.39</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31011</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地上附着物和青苗补偿</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30113</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住房公积金</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10.13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30212</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因公出国(境)费用 </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31012</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拆迁补偿</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30114</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医疗费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0.02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30213</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维修(护)费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0.55</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31013</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公务用车购置</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30199</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其他工资福利支出</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30214</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租赁费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31019</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其他交通工具购置</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对个人和家庭的补助</w:t>
            </w:r>
          </w:p>
        </w:tc>
        <w:tc>
          <w:tcPr>
            <w:tcW w:w="100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30215</w:t>
            </w:r>
          </w:p>
        </w:tc>
        <w:tc>
          <w:tcPr>
            <w:tcW w:w="129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会议费</w:t>
            </w:r>
          </w:p>
        </w:tc>
        <w:tc>
          <w:tcPr>
            <w:tcW w:w="845"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31021</w:t>
            </w:r>
          </w:p>
        </w:tc>
        <w:tc>
          <w:tcPr>
            <w:tcW w:w="144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文物和陈列品购置</w:t>
            </w:r>
          </w:p>
        </w:tc>
        <w:tc>
          <w:tcPr>
            <w:tcW w:w="823"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30301</w:t>
            </w:r>
          </w:p>
        </w:tc>
        <w:tc>
          <w:tcPr>
            <w:tcW w:w="1620" w:type="dxa"/>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离休费</w:t>
            </w:r>
          </w:p>
        </w:tc>
        <w:tc>
          <w:tcPr>
            <w:tcW w:w="1005" w:type="dxa"/>
            <w:tcBorders>
              <w:top w:val="single" w:color="auto" w:sz="4" w:space="0"/>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30216</w:t>
            </w:r>
          </w:p>
        </w:tc>
        <w:tc>
          <w:tcPr>
            <w:tcW w:w="1296"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培训费</w:t>
            </w:r>
          </w:p>
        </w:tc>
        <w:tc>
          <w:tcPr>
            <w:tcW w:w="845" w:type="dxa"/>
            <w:tcBorders>
              <w:top w:val="single" w:color="auto" w:sz="4" w:space="0"/>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0.32</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31022</w:t>
            </w:r>
          </w:p>
        </w:tc>
        <w:tc>
          <w:tcPr>
            <w:tcW w:w="1442"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无形资产购置</w:t>
            </w:r>
          </w:p>
        </w:tc>
        <w:tc>
          <w:tcPr>
            <w:tcW w:w="823" w:type="dxa"/>
            <w:tcBorders>
              <w:top w:val="single" w:color="auto" w:sz="4" w:space="0"/>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30302</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退休费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30217</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公务接待费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0.41</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31099</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其他资本性支出</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30303</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退职(役)费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30218</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专用材料费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0.37</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对企业补助</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30304</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抚恤金</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30224</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被装购置费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31201</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资本金注入</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30305</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生活补助</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30225</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专用燃料费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31203</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政府投资基金股权投资</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30306</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救济费</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30226</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劳务费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12.47</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31204</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费用补贴</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30307</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医疗费补助</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30227</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委托业务费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1.78</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31205</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利息补贴</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30308</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助学金</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30228</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工会经费</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31299</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其他对企业补助</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30309</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奖励金</w:t>
            </w:r>
          </w:p>
        </w:tc>
        <w:tc>
          <w:tcPr>
            <w:tcW w:w="100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30229</w:t>
            </w:r>
          </w:p>
        </w:tc>
        <w:tc>
          <w:tcPr>
            <w:tcW w:w="129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福利费</w:t>
            </w:r>
          </w:p>
        </w:tc>
        <w:tc>
          <w:tcPr>
            <w:tcW w:w="845"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w:t>
            </w:r>
          </w:p>
        </w:tc>
        <w:tc>
          <w:tcPr>
            <w:tcW w:w="144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其他支出</w:t>
            </w:r>
          </w:p>
        </w:tc>
        <w:tc>
          <w:tcPr>
            <w:tcW w:w="823"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30310</w:t>
            </w:r>
          </w:p>
        </w:tc>
        <w:tc>
          <w:tcPr>
            <w:tcW w:w="1620" w:type="dxa"/>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个人农业生产补贴</w:t>
            </w:r>
          </w:p>
        </w:tc>
        <w:tc>
          <w:tcPr>
            <w:tcW w:w="1005" w:type="dxa"/>
            <w:tcBorders>
              <w:top w:val="single" w:color="auto" w:sz="4" w:space="0"/>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30231</w:t>
            </w:r>
          </w:p>
        </w:tc>
        <w:tc>
          <w:tcPr>
            <w:tcW w:w="1296"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公务用车运行维护费</w:t>
            </w:r>
          </w:p>
        </w:tc>
        <w:tc>
          <w:tcPr>
            <w:tcW w:w="845" w:type="dxa"/>
            <w:tcBorders>
              <w:top w:val="single" w:color="auto" w:sz="4" w:space="0"/>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39906</w:t>
            </w:r>
          </w:p>
        </w:tc>
        <w:tc>
          <w:tcPr>
            <w:tcW w:w="1442" w:type="dxa"/>
            <w:gridSpan w:val="2"/>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赠与</w:t>
            </w:r>
          </w:p>
        </w:tc>
        <w:tc>
          <w:tcPr>
            <w:tcW w:w="823" w:type="dxa"/>
            <w:tcBorders>
              <w:top w:val="single" w:color="auto" w:sz="4" w:space="0"/>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30399</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其他对个人和家庭的补助支出</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0.00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30239</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其他交通费用</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5.79</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39907</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国家赔偿费用支出</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30240</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税金及附加费用</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39908</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对民间非营利组织和群众性自治组织补贴</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30299</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其他商品和服务支出</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1.16</w:t>
            </w:r>
          </w:p>
        </w:tc>
        <w:tc>
          <w:tcPr>
            <w:tcW w:w="974"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39999</w:t>
            </w:r>
          </w:p>
        </w:tc>
        <w:tc>
          <w:tcPr>
            <w:tcW w:w="1442"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其他支出</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债务利息支出</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442"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620" w:type="dxa"/>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30701</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国内债务付息</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442"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620"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005"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0"/>
                <w:szCs w:val="20"/>
              </w:rPr>
            </w:pPr>
            <w:r>
              <w:rPr>
                <w:rFonts w:hint="eastAsia" w:ascii="宋体" w:hAnsi="宋体"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30702</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国外债务付息</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442"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620"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00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30703</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国内债务发行费用</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442"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035" w:type="dxa"/>
            <w:tcBorders>
              <w:top w:val="nil"/>
              <w:left w:val="single" w:color="auto" w:sz="4" w:space="0"/>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620"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00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921"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30704</w:t>
            </w:r>
          </w:p>
        </w:tc>
        <w:tc>
          <w:tcPr>
            <w:tcW w:w="1296" w:type="dxa"/>
            <w:gridSpan w:val="2"/>
            <w:tcBorders>
              <w:top w:val="nil"/>
              <w:left w:val="nil"/>
              <w:bottom w:val="single" w:color="auto" w:sz="4" w:space="0"/>
              <w:right w:val="single" w:color="auto" w:sz="4" w:space="0"/>
            </w:tcBorders>
            <w:vAlign w:val="center"/>
          </w:tcPr>
          <w:p>
            <w:pPr>
              <w:widowControl/>
              <w:spacing w:line="240" w:lineRule="auto"/>
              <w:jc w:val="left"/>
              <w:rPr>
                <w:rFonts w:ascii="宋体" w:hAnsi="宋体" w:eastAsia="宋体" w:cs="Arial"/>
                <w:kern w:val="0"/>
                <w:sz w:val="20"/>
                <w:szCs w:val="20"/>
              </w:rPr>
            </w:pPr>
            <w:r>
              <w:rPr>
                <w:rFonts w:hint="eastAsia" w:ascii="宋体" w:hAnsi="宋体" w:eastAsia="宋体" w:cs="Arial"/>
                <w:kern w:val="0"/>
                <w:sz w:val="20"/>
                <w:szCs w:val="20"/>
              </w:rPr>
              <w:t xml:space="preserve">  国外债务发行费用</w:t>
            </w:r>
          </w:p>
        </w:tc>
        <w:tc>
          <w:tcPr>
            <w:tcW w:w="845"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0.00</w:t>
            </w:r>
          </w:p>
        </w:tc>
        <w:tc>
          <w:tcPr>
            <w:tcW w:w="974"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1442" w:type="dxa"/>
            <w:gridSpan w:val="2"/>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c>
          <w:tcPr>
            <w:tcW w:w="823" w:type="dxa"/>
            <w:tcBorders>
              <w:top w:val="nil"/>
              <w:left w:val="nil"/>
              <w:bottom w:val="single" w:color="auto" w:sz="4" w:space="0"/>
              <w:right w:val="single" w:color="auto" w:sz="4" w:space="0"/>
            </w:tcBorders>
            <w:vAlign w:val="bottom"/>
          </w:tcPr>
          <w:p>
            <w:pPr>
              <w:widowControl/>
              <w:spacing w:line="240" w:lineRule="auto"/>
              <w:jc w:val="left"/>
              <w:rPr>
                <w:rFonts w:ascii="Arial" w:hAnsi="Arial" w:eastAsia="宋体" w:cs="Arial"/>
                <w:kern w:val="0"/>
                <w:sz w:val="20"/>
                <w:szCs w:val="20"/>
              </w:rPr>
            </w:pPr>
            <w:r>
              <w:rPr>
                <w:rFonts w:ascii="Arial" w:hAnsi="Arial" w:eastAsia="宋体" w:cs="Arial"/>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65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人员经费合计</w:t>
            </w:r>
          </w:p>
        </w:tc>
        <w:tc>
          <w:tcPr>
            <w:tcW w:w="1005" w:type="dxa"/>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123.52</w:t>
            </w:r>
          </w:p>
        </w:tc>
        <w:tc>
          <w:tcPr>
            <w:tcW w:w="5478" w:type="dxa"/>
            <w:gridSpan w:val="9"/>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eastAsia="宋体" w:cs="Arial"/>
                <w:kern w:val="0"/>
                <w:sz w:val="20"/>
                <w:szCs w:val="20"/>
              </w:rPr>
            </w:pPr>
            <w:r>
              <w:rPr>
                <w:rFonts w:hint="eastAsia" w:ascii="宋体" w:hAnsi="宋体" w:eastAsia="宋体" w:cs="Arial"/>
                <w:kern w:val="0"/>
                <w:sz w:val="20"/>
                <w:szCs w:val="20"/>
              </w:rPr>
              <w:t>公用经费合计</w:t>
            </w:r>
          </w:p>
        </w:tc>
        <w:tc>
          <w:tcPr>
            <w:tcW w:w="823" w:type="dxa"/>
            <w:tcBorders>
              <w:top w:val="nil"/>
              <w:left w:val="nil"/>
              <w:bottom w:val="single" w:color="auto" w:sz="4" w:space="0"/>
              <w:right w:val="single" w:color="auto" w:sz="4" w:space="0"/>
            </w:tcBorders>
            <w:vAlign w:val="bottom"/>
          </w:tcPr>
          <w:p>
            <w:pPr>
              <w:widowControl/>
              <w:spacing w:line="240" w:lineRule="auto"/>
              <w:jc w:val="center"/>
              <w:rPr>
                <w:rFonts w:ascii="Arial" w:hAnsi="Arial" w:eastAsia="宋体" w:cs="Arial"/>
                <w:kern w:val="0"/>
                <w:sz w:val="20"/>
                <w:szCs w:val="20"/>
              </w:rPr>
            </w:pPr>
            <w:r>
              <w:rPr>
                <w:rFonts w:hint="eastAsia" w:ascii="Arial" w:hAnsi="Arial" w:eastAsia="宋体" w:cs="Arial"/>
                <w:kern w:val="0"/>
                <w:sz w:val="20"/>
                <w:szCs w:val="20"/>
              </w:rPr>
              <w:t>30.7</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jc w:val="left"/>
        <w:rPr>
          <w:rFonts w:ascii="黑体" w:hAnsi="仿宋" w:eastAsia="黑体"/>
          <w:sz w:val="32"/>
          <w:szCs w:val="32"/>
        </w:rPr>
      </w:pPr>
      <w:r>
        <w:rPr>
          <w:rFonts w:hint="eastAsia" w:ascii="黑体" w:hAnsi="仿宋" w:eastAsia="黑体"/>
          <w:sz w:val="32"/>
          <w:szCs w:val="32"/>
        </w:rPr>
        <w:t xml:space="preserve">八、政府性基金预算财政拨款收入支出决算表 </w:t>
      </w:r>
    </w:p>
    <w:tbl>
      <w:tblPr>
        <w:tblStyle w:val="6"/>
        <w:tblW w:w="91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
        <w:gridCol w:w="436"/>
        <w:gridCol w:w="436"/>
        <w:gridCol w:w="1280"/>
        <w:gridCol w:w="1000"/>
        <w:gridCol w:w="1020"/>
        <w:gridCol w:w="1020"/>
        <w:gridCol w:w="1160"/>
        <w:gridCol w:w="1150"/>
        <w:gridCol w:w="1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168" w:type="dxa"/>
            <w:gridSpan w:val="10"/>
            <w:tcBorders>
              <w:top w:val="nil"/>
              <w:left w:val="nil"/>
              <w:bottom w:val="nil"/>
              <w:right w:val="nil"/>
            </w:tcBorders>
            <w:vAlign w:val="center"/>
          </w:tcPr>
          <w:p>
            <w:pPr>
              <w:widowControl/>
              <w:spacing w:line="240" w:lineRule="auto"/>
              <w:jc w:val="center"/>
              <w:rPr>
                <w:rFonts w:ascii="宋体" w:hAnsi="宋体" w:eastAsia="宋体" w:cs="Arial"/>
                <w:kern w:val="0"/>
                <w:sz w:val="44"/>
                <w:szCs w:val="44"/>
              </w:rPr>
            </w:pPr>
            <w:r>
              <w:rPr>
                <w:rFonts w:hint="eastAsia" w:ascii="黑体" w:hAnsi="Arial" w:eastAsia="黑体" w:cs="Arial"/>
                <w:kern w:val="0"/>
                <w:sz w:val="36"/>
                <w:szCs w:val="36"/>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588" w:type="dxa"/>
            <w:gridSpan w:val="5"/>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r>
              <w:rPr>
                <w:rFonts w:hint="eastAsia" w:ascii="宋体" w:hAnsi="宋体" w:eastAsia="宋体" w:cs="Arial"/>
                <w:kern w:val="0"/>
                <w:sz w:val="24"/>
                <w:szCs w:val="24"/>
              </w:rPr>
              <w:t>编制单位：</w:t>
            </w:r>
            <w:r>
              <w:rPr>
                <w:rFonts w:hint="eastAsia" w:ascii="宋体" w:hAnsi="宋体" w:eastAsia="宋体" w:cs="Arial"/>
                <w:kern w:val="0"/>
                <w:sz w:val="22"/>
              </w:rPr>
              <w:t>连城县档案馆</w:t>
            </w:r>
          </w:p>
        </w:tc>
        <w:tc>
          <w:tcPr>
            <w:tcW w:w="1020" w:type="dxa"/>
            <w:tcBorders>
              <w:top w:val="nil"/>
              <w:left w:val="nil"/>
              <w:bottom w:val="nil"/>
              <w:right w:val="nil"/>
            </w:tcBorders>
            <w:vAlign w:val="bottom"/>
          </w:tcPr>
          <w:p>
            <w:pPr>
              <w:widowControl/>
              <w:spacing w:line="240" w:lineRule="auto"/>
              <w:jc w:val="center"/>
              <w:rPr>
                <w:rFonts w:ascii="宋体" w:hAnsi="宋体" w:eastAsia="宋体" w:cs="Arial"/>
                <w:kern w:val="0"/>
                <w:sz w:val="24"/>
                <w:szCs w:val="24"/>
              </w:rPr>
            </w:pPr>
          </w:p>
        </w:tc>
        <w:tc>
          <w:tcPr>
            <w:tcW w:w="1020"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1160"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2380" w:type="dxa"/>
            <w:gridSpan w:val="2"/>
            <w:tcBorders>
              <w:top w:val="nil"/>
              <w:left w:val="nil"/>
              <w:bottom w:val="nil"/>
              <w:right w:val="nil"/>
            </w:tcBorders>
            <w:vAlign w:val="bottom"/>
          </w:tcPr>
          <w:p>
            <w:pPr>
              <w:widowControl/>
              <w:spacing w:line="240" w:lineRule="auto"/>
              <w:jc w:val="right"/>
              <w:rPr>
                <w:rFonts w:ascii="宋体" w:hAnsi="宋体" w:eastAsia="宋体" w:cs="Arial"/>
                <w:kern w:val="0"/>
                <w:sz w:val="24"/>
                <w:szCs w:val="24"/>
              </w:rPr>
            </w:pPr>
            <w:r>
              <w:rPr>
                <w:rFonts w:hint="eastAsia" w:ascii="宋体" w:hAnsi="宋体" w:eastAsia="宋体" w:cs="Arial"/>
                <w:kern w:val="0"/>
                <w:sz w:val="24"/>
                <w:szCs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88" w:type="dxa"/>
            <w:gridSpan w:val="4"/>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w:t>
            </w:r>
          </w:p>
        </w:tc>
        <w:tc>
          <w:tcPr>
            <w:tcW w:w="1000"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年初结转和结余</w:t>
            </w:r>
          </w:p>
        </w:tc>
        <w:tc>
          <w:tcPr>
            <w:tcW w:w="1020"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本年收入</w:t>
            </w:r>
          </w:p>
        </w:tc>
        <w:tc>
          <w:tcPr>
            <w:tcW w:w="3330" w:type="dxa"/>
            <w:gridSpan w:val="3"/>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本年支出</w:t>
            </w:r>
          </w:p>
        </w:tc>
        <w:tc>
          <w:tcPr>
            <w:tcW w:w="1230"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支出功能分类科目编码</w:t>
            </w:r>
          </w:p>
        </w:tc>
        <w:tc>
          <w:tcPr>
            <w:tcW w:w="1280"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科目名称</w:t>
            </w: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020"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小计</w:t>
            </w:r>
          </w:p>
        </w:tc>
        <w:tc>
          <w:tcPr>
            <w:tcW w:w="1160" w:type="dxa"/>
            <w:vMerge w:val="restart"/>
            <w:tcBorders>
              <w:top w:val="nil"/>
              <w:left w:val="single" w:color="000000" w:sz="4" w:space="0"/>
              <w:bottom w:val="nil"/>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基本支出</w:t>
            </w:r>
          </w:p>
        </w:tc>
        <w:tc>
          <w:tcPr>
            <w:tcW w:w="1150"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项目支出</w:t>
            </w: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08" w:type="dxa"/>
            <w:gridSpan w:val="3"/>
            <w:vMerge w:val="continue"/>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80"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00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02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020"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160" w:type="dxa"/>
            <w:vMerge w:val="continue"/>
            <w:tcBorders>
              <w:top w:val="nil"/>
              <w:left w:val="single" w:color="000000" w:sz="4" w:space="0"/>
              <w:bottom w:val="nil"/>
              <w:right w:val="single" w:color="000000" w:sz="4" w:space="0"/>
            </w:tcBorders>
            <w:vAlign w:val="center"/>
          </w:tcPr>
          <w:p>
            <w:pPr>
              <w:widowControl/>
              <w:spacing w:line="240" w:lineRule="auto"/>
              <w:jc w:val="left"/>
              <w:rPr>
                <w:rFonts w:ascii="宋体" w:hAnsi="宋体" w:eastAsia="宋体" w:cs="Arial"/>
                <w:kern w:val="0"/>
                <w:sz w:val="22"/>
              </w:rPr>
            </w:pPr>
          </w:p>
        </w:tc>
        <w:tc>
          <w:tcPr>
            <w:tcW w:w="1150"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3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vMerge w:val="restart"/>
            <w:tcBorders>
              <w:top w:val="nil"/>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类</w:t>
            </w:r>
          </w:p>
        </w:tc>
        <w:tc>
          <w:tcPr>
            <w:tcW w:w="436"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款</w:t>
            </w:r>
          </w:p>
        </w:tc>
        <w:tc>
          <w:tcPr>
            <w:tcW w:w="436" w:type="dxa"/>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w:t>
            </w:r>
          </w:p>
        </w:tc>
        <w:tc>
          <w:tcPr>
            <w:tcW w:w="128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栏次</w:t>
            </w:r>
          </w:p>
        </w:tc>
        <w:tc>
          <w:tcPr>
            <w:tcW w:w="100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1</w:t>
            </w:r>
          </w:p>
        </w:tc>
        <w:tc>
          <w:tcPr>
            <w:tcW w:w="102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4</w:t>
            </w:r>
          </w:p>
        </w:tc>
        <w:tc>
          <w:tcPr>
            <w:tcW w:w="102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7</w:t>
            </w:r>
          </w:p>
        </w:tc>
        <w:tc>
          <w:tcPr>
            <w:tcW w:w="1160" w:type="dxa"/>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8</w:t>
            </w:r>
          </w:p>
        </w:tc>
        <w:tc>
          <w:tcPr>
            <w:tcW w:w="115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11</w:t>
            </w:r>
          </w:p>
        </w:tc>
        <w:tc>
          <w:tcPr>
            <w:tcW w:w="123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6" w:type="dxa"/>
            <w:vMerge w:val="continue"/>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436"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436" w:type="dxa"/>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p>
        </w:tc>
        <w:tc>
          <w:tcPr>
            <w:tcW w:w="128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合计</w:t>
            </w:r>
          </w:p>
        </w:tc>
        <w:tc>
          <w:tcPr>
            <w:tcW w:w="100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116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115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123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bl>
    <w:p>
      <w:pPr>
        <w:pStyle w:val="8"/>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ind w:firstLine="480" w:firstLineChars="200"/>
        <w:jc w:val="left"/>
        <w:rPr>
          <w:rFonts w:ascii="仿宋" w:hAnsi="仿宋" w:eastAsia="仿宋"/>
          <w:sz w:val="32"/>
          <w:szCs w:val="32"/>
        </w:rPr>
      </w:pPr>
      <w:r>
        <w:rPr>
          <w:rFonts w:hint="eastAsia" w:ascii="Times New Roman" w:hAnsi="Times New Roman" w:cs="Times New Roman"/>
          <w:kern w:val="0"/>
          <w:sz w:val="24"/>
          <w:szCs w:val="24"/>
        </w:rPr>
        <w:t>本单位2019年度没有使用政府性基金预算拨款安排的收支。</w:t>
      </w:r>
    </w:p>
    <w:p>
      <w:pPr>
        <w:jc w:val="left"/>
        <w:rPr>
          <w:rFonts w:ascii="黑体" w:hAnsi="仿宋" w:eastAsia="黑体"/>
          <w:sz w:val="32"/>
          <w:szCs w:val="32"/>
        </w:rPr>
      </w:pPr>
      <w:r>
        <w:rPr>
          <w:rFonts w:hint="eastAsia" w:ascii="黑体" w:hAnsi="仿宋" w:eastAsia="黑体"/>
          <w:sz w:val="32"/>
          <w:szCs w:val="32"/>
        </w:rPr>
        <w:t xml:space="preserve">九、机构运行信息表 </w:t>
      </w:r>
    </w:p>
    <w:tbl>
      <w:tblPr>
        <w:tblStyle w:val="6"/>
        <w:tblW w:w="8946"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17"/>
        <w:gridCol w:w="851"/>
        <w:gridCol w:w="142"/>
        <w:gridCol w:w="3402"/>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46" w:type="dxa"/>
            <w:gridSpan w:val="5"/>
            <w:tcBorders>
              <w:top w:val="nil"/>
              <w:left w:val="nil"/>
              <w:bottom w:val="nil"/>
              <w:right w:val="nil"/>
            </w:tcBorders>
            <w:vAlign w:val="bottom"/>
          </w:tcPr>
          <w:p>
            <w:pPr>
              <w:widowControl/>
              <w:spacing w:line="240" w:lineRule="auto"/>
              <w:jc w:val="center"/>
              <w:rPr>
                <w:rFonts w:ascii="宋体" w:hAnsi="宋体" w:eastAsia="宋体" w:cs="Arial"/>
                <w:kern w:val="0"/>
                <w:sz w:val="44"/>
                <w:szCs w:val="44"/>
              </w:rPr>
            </w:pPr>
            <w:r>
              <w:rPr>
                <w:rFonts w:hint="eastAsia" w:ascii="黑体" w:hAnsi="Arial" w:eastAsia="黑体" w:cs="Arial"/>
                <w:kern w:val="0"/>
                <w:sz w:val="36"/>
                <w:szCs w:val="36"/>
              </w:rPr>
              <w:t>机构运行信息表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417" w:type="dxa"/>
            <w:tcBorders>
              <w:top w:val="nil"/>
              <w:left w:val="nil"/>
              <w:bottom w:val="nil"/>
              <w:right w:val="nil"/>
            </w:tcBorders>
            <w:vAlign w:val="bottom"/>
          </w:tcPr>
          <w:p>
            <w:pPr>
              <w:widowControl/>
              <w:spacing w:line="240" w:lineRule="auto"/>
              <w:jc w:val="left"/>
              <w:rPr>
                <w:rFonts w:ascii="宋体" w:hAnsi="宋体" w:eastAsia="宋体" w:cs="Arial"/>
                <w:kern w:val="0"/>
                <w:sz w:val="24"/>
                <w:szCs w:val="24"/>
              </w:rPr>
            </w:pPr>
            <w:r>
              <w:rPr>
                <w:rFonts w:hint="eastAsia" w:ascii="宋体" w:hAnsi="宋体" w:eastAsia="宋体" w:cs="Arial"/>
                <w:kern w:val="0"/>
                <w:sz w:val="24"/>
                <w:szCs w:val="24"/>
              </w:rPr>
              <w:t>编制单位：</w:t>
            </w:r>
            <w:r>
              <w:rPr>
                <w:rFonts w:hint="eastAsia" w:ascii="宋体" w:hAnsi="宋体" w:eastAsia="宋体" w:cs="Arial"/>
                <w:kern w:val="0"/>
                <w:sz w:val="22"/>
              </w:rPr>
              <w:t>连城县档案馆</w:t>
            </w:r>
          </w:p>
        </w:tc>
        <w:tc>
          <w:tcPr>
            <w:tcW w:w="851" w:type="dxa"/>
            <w:tcBorders>
              <w:top w:val="nil"/>
              <w:left w:val="nil"/>
              <w:bottom w:val="nil"/>
              <w:right w:val="nil"/>
            </w:tcBorders>
            <w:vAlign w:val="bottom"/>
          </w:tcPr>
          <w:p>
            <w:pPr>
              <w:widowControl/>
              <w:spacing w:line="240" w:lineRule="auto"/>
              <w:jc w:val="left"/>
              <w:rPr>
                <w:rFonts w:ascii="Arial" w:hAnsi="Arial" w:eastAsia="宋体" w:cs="Arial"/>
                <w:kern w:val="0"/>
                <w:sz w:val="20"/>
                <w:szCs w:val="20"/>
              </w:rPr>
            </w:pPr>
          </w:p>
        </w:tc>
        <w:tc>
          <w:tcPr>
            <w:tcW w:w="4678" w:type="dxa"/>
            <w:gridSpan w:val="3"/>
            <w:tcBorders>
              <w:top w:val="nil"/>
              <w:left w:val="nil"/>
              <w:bottom w:val="single" w:color="000000" w:sz="8" w:space="0"/>
              <w:right w:val="nil"/>
            </w:tcBorders>
            <w:vAlign w:val="bottom"/>
          </w:tcPr>
          <w:p>
            <w:pPr>
              <w:widowControl/>
              <w:spacing w:line="240" w:lineRule="auto"/>
              <w:jc w:val="right"/>
              <w:rPr>
                <w:rFonts w:ascii="宋体" w:hAnsi="宋体" w:eastAsia="宋体" w:cs="Arial"/>
                <w:kern w:val="0"/>
                <w:sz w:val="24"/>
                <w:szCs w:val="24"/>
              </w:rPr>
            </w:pPr>
            <w:r>
              <w:rPr>
                <w:rFonts w:hint="eastAsia" w:ascii="宋体" w:hAnsi="宋体" w:eastAsia="宋体" w:cs="Arial"/>
                <w:kern w:val="0"/>
                <w:sz w:val="24"/>
                <w:szCs w:val="24"/>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  目</w:t>
            </w:r>
          </w:p>
        </w:tc>
        <w:tc>
          <w:tcPr>
            <w:tcW w:w="993" w:type="dxa"/>
            <w:gridSpan w:val="2"/>
            <w:tcBorders>
              <w:top w:val="single" w:color="000000" w:sz="8"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统计数</w:t>
            </w:r>
          </w:p>
        </w:tc>
        <w:tc>
          <w:tcPr>
            <w:tcW w:w="3402"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项  目</w:t>
            </w:r>
          </w:p>
        </w:tc>
        <w:tc>
          <w:tcPr>
            <w:tcW w:w="1134"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统计数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一、“三公”经费支出</w:t>
            </w:r>
          </w:p>
        </w:tc>
        <w:tc>
          <w:tcPr>
            <w:tcW w:w="993"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二、机关运行经费</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（一）支出合计</w:t>
            </w:r>
          </w:p>
        </w:tc>
        <w:tc>
          <w:tcPr>
            <w:tcW w:w="993" w:type="dxa"/>
            <w:gridSpan w:val="2"/>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0.41　</w:t>
            </w:r>
          </w:p>
        </w:tc>
        <w:tc>
          <w:tcPr>
            <w:tcW w:w="3402" w:type="dxa"/>
            <w:tcBorders>
              <w:top w:val="nil"/>
              <w:left w:val="nil"/>
              <w:bottom w:val="single" w:color="auto" w:sz="4" w:space="0"/>
              <w:right w:val="single" w:color="000000" w:sz="4" w:space="0"/>
            </w:tcBorders>
            <w:vAlign w:val="center"/>
          </w:tcPr>
          <w:p>
            <w:pPr>
              <w:rPr>
                <w:rFonts w:ascii="宋体" w:hAnsi="宋体" w:eastAsia="宋体" w:cs="Arial"/>
                <w:sz w:val="22"/>
              </w:rPr>
            </w:pPr>
            <w:r>
              <w:rPr>
                <w:rFonts w:hint="eastAsia" w:cs="Arial"/>
                <w:sz w:val="22"/>
              </w:rPr>
              <w:t>（一）行政单位</w:t>
            </w:r>
          </w:p>
        </w:tc>
        <w:tc>
          <w:tcPr>
            <w:tcW w:w="1134" w:type="dxa"/>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1.因公出国（境）费</w:t>
            </w:r>
          </w:p>
        </w:tc>
        <w:tc>
          <w:tcPr>
            <w:tcW w:w="99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（二）参照公务员法管理事业单位</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2.公务用车购置及运行维护费</w:t>
            </w:r>
          </w:p>
        </w:tc>
        <w:tc>
          <w:tcPr>
            <w:tcW w:w="99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三、国有资产占用情况</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（1）公务用车购置费</w:t>
            </w:r>
          </w:p>
        </w:tc>
        <w:tc>
          <w:tcPr>
            <w:tcW w:w="993" w:type="dxa"/>
            <w:gridSpan w:val="2"/>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single" w:color="auto" w:sz="4" w:space="0"/>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（一）车辆数合计（辆）</w:t>
            </w:r>
          </w:p>
        </w:tc>
        <w:tc>
          <w:tcPr>
            <w:tcW w:w="1134"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auto"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（2）公务用车运行维护费</w:t>
            </w:r>
          </w:p>
        </w:tc>
        <w:tc>
          <w:tcPr>
            <w:tcW w:w="993" w:type="dxa"/>
            <w:gridSpan w:val="2"/>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nil"/>
              <w:left w:val="nil"/>
              <w:bottom w:val="single" w:color="auto" w:sz="4" w:space="0"/>
              <w:right w:val="single" w:color="000000" w:sz="4" w:space="0"/>
            </w:tcBorders>
            <w:vAlign w:val="center"/>
          </w:tcPr>
          <w:p>
            <w:pPr>
              <w:rPr>
                <w:rFonts w:ascii="宋体" w:hAnsi="宋体" w:eastAsia="宋体" w:cs="Arial"/>
                <w:sz w:val="22"/>
              </w:rPr>
            </w:pPr>
            <w:r>
              <w:rPr>
                <w:rFonts w:hint="eastAsia" w:cs="Arial"/>
                <w:sz w:val="22"/>
              </w:rPr>
              <w:t xml:space="preserve">  1.副部（省）级及以上领导用车</w:t>
            </w:r>
          </w:p>
        </w:tc>
        <w:tc>
          <w:tcPr>
            <w:tcW w:w="1134" w:type="dxa"/>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3.公务接待费</w:t>
            </w:r>
          </w:p>
        </w:tc>
        <w:tc>
          <w:tcPr>
            <w:tcW w:w="99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0.41　</w:t>
            </w:r>
          </w:p>
        </w:tc>
        <w:tc>
          <w:tcPr>
            <w:tcW w:w="340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Arial"/>
                <w:sz w:val="22"/>
              </w:rPr>
            </w:pPr>
            <w:r>
              <w:rPr>
                <w:rFonts w:hint="eastAsia" w:cs="Arial"/>
                <w:sz w:val="22"/>
              </w:rPr>
              <w:t xml:space="preserve">  2.主要领导干部用车</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（1）国内接待费</w:t>
            </w:r>
          </w:p>
        </w:tc>
        <w:tc>
          <w:tcPr>
            <w:tcW w:w="993" w:type="dxa"/>
            <w:gridSpan w:val="2"/>
            <w:tcBorders>
              <w:top w:val="single" w:color="auto" w:sz="4" w:space="0"/>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0.41　</w:t>
            </w:r>
          </w:p>
        </w:tc>
        <w:tc>
          <w:tcPr>
            <w:tcW w:w="3402" w:type="dxa"/>
            <w:tcBorders>
              <w:top w:val="single" w:color="auto" w:sz="4" w:space="0"/>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3.机要通信用车</w:t>
            </w:r>
          </w:p>
        </w:tc>
        <w:tc>
          <w:tcPr>
            <w:tcW w:w="1134"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其中：外事接待费</w:t>
            </w:r>
          </w:p>
        </w:tc>
        <w:tc>
          <w:tcPr>
            <w:tcW w:w="993"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0.41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4.应急保障用车</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single" w:color="000000"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（2）国（境）外接待费</w:t>
            </w:r>
          </w:p>
        </w:tc>
        <w:tc>
          <w:tcPr>
            <w:tcW w:w="993"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5.执法执勤用车</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（二）相关统计数</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center"/>
              <w:rPr>
                <w:rFonts w:ascii="宋体" w:hAnsi="宋体" w:eastAsia="宋体" w:cs="Arial"/>
                <w:kern w:val="0"/>
                <w:sz w:val="22"/>
              </w:rPr>
            </w:pPr>
            <w:r>
              <w:rPr>
                <w:rFonts w:hint="eastAsia" w:ascii="宋体" w:hAnsi="宋体" w:eastAsia="宋体" w:cs="Arial"/>
                <w:kern w:val="0"/>
                <w:sz w:val="22"/>
              </w:rPr>
              <w:t>--</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6.特种专业技术用车</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1.因公出国（境）团组数（个）</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7.离退休干部用车</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2.因公出国（境）人次数（人）</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8.其他用车</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3.公务用车购置数（辆）</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（二）单价50万元以上通用设备（台，套）</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4.公务用车保有量（辆）</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（三）单价100万元以上专用设备（台，套）</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5.国内公务接待批次（个）</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4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四、政府采购支出信息</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其中：外事接待批次（个）</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4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（一）政府采购支出合计</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6.国内公务接待人次（人）</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19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1．政府采购货物支出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single" w:color="000000" w:sz="4" w:space="0"/>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其中：外事接待人次（人）</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19　</w:t>
            </w:r>
          </w:p>
        </w:tc>
        <w:tc>
          <w:tcPr>
            <w:tcW w:w="3402" w:type="dxa"/>
            <w:tcBorders>
              <w:top w:val="nil"/>
              <w:left w:val="nil"/>
              <w:bottom w:val="single" w:color="000000" w:sz="4" w:space="0"/>
              <w:right w:val="single" w:color="000000" w:sz="4" w:space="0"/>
            </w:tcBorders>
            <w:vAlign w:val="center"/>
          </w:tcPr>
          <w:p>
            <w:pPr>
              <w:rPr>
                <w:rFonts w:ascii="宋体" w:hAnsi="宋体" w:eastAsia="宋体" w:cs="Arial"/>
                <w:sz w:val="22"/>
              </w:rPr>
            </w:pPr>
            <w:r>
              <w:rPr>
                <w:rFonts w:hint="eastAsia" w:cs="Arial"/>
                <w:sz w:val="22"/>
              </w:rPr>
              <w:t xml:space="preserve">     2．政府采购工程支出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nil"/>
              <w:left w:val="single" w:color="000000" w:sz="8" w:space="0"/>
              <w:bottom w:val="nil"/>
              <w:right w:val="nil"/>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7.国（境）外公务接待批次（个）</w:t>
            </w:r>
          </w:p>
        </w:tc>
        <w:tc>
          <w:tcPr>
            <w:tcW w:w="993" w:type="dxa"/>
            <w:gridSpan w:val="2"/>
            <w:tcBorders>
              <w:top w:val="nil"/>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0.000　</w:t>
            </w:r>
          </w:p>
        </w:tc>
        <w:tc>
          <w:tcPr>
            <w:tcW w:w="3402" w:type="dxa"/>
            <w:tcBorders>
              <w:top w:val="nil"/>
              <w:left w:val="nil"/>
              <w:bottom w:val="single" w:color="auto" w:sz="4" w:space="0"/>
              <w:right w:val="single" w:color="000000" w:sz="4" w:space="0"/>
            </w:tcBorders>
            <w:vAlign w:val="center"/>
          </w:tcPr>
          <w:p>
            <w:pPr>
              <w:rPr>
                <w:rFonts w:ascii="宋体" w:hAnsi="宋体" w:eastAsia="宋体" w:cs="Arial"/>
                <w:sz w:val="22"/>
              </w:rPr>
            </w:pPr>
            <w:r>
              <w:rPr>
                <w:rFonts w:hint="eastAsia" w:cs="Arial"/>
                <w:sz w:val="22"/>
              </w:rPr>
              <w:t xml:space="preserve">     3．政府采购服务支出</w:t>
            </w:r>
          </w:p>
        </w:tc>
        <w:tc>
          <w:tcPr>
            <w:tcW w:w="1134" w:type="dxa"/>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r>
              <w:rPr>
                <w:rFonts w:hint="eastAsia" w:ascii="宋体" w:hAnsi="宋体" w:eastAsia="宋体" w:cs="Arial"/>
                <w:kern w:val="0"/>
                <w:sz w:val="22"/>
              </w:rPr>
              <w:t xml:space="preserve">  8.国（境）外公务接待人次（人）</w:t>
            </w:r>
          </w:p>
        </w:tc>
        <w:tc>
          <w:tcPr>
            <w:tcW w:w="993" w:type="dxa"/>
            <w:gridSpan w:val="2"/>
            <w:tcBorders>
              <w:top w:val="nil"/>
              <w:left w:val="nil"/>
              <w:bottom w:val="nil"/>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c>
          <w:tcPr>
            <w:tcW w:w="3402" w:type="dxa"/>
            <w:tcBorders>
              <w:top w:val="single" w:color="auto" w:sz="4" w:space="0"/>
              <w:left w:val="nil"/>
              <w:bottom w:val="single" w:color="auto" w:sz="4" w:space="0"/>
              <w:right w:val="single" w:color="auto" w:sz="4" w:space="0"/>
            </w:tcBorders>
            <w:vAlign w:val="center"/>
          </w:tcPr>
          <w:p>
            <w:pPr>
              <w:rPr>
                <w:rFonts w:ascii="宋体" w:hAnsi="宋体" w:eastAsia="宋体" w:cs="Arial"/>
                <w:sz w:val="22"/>
              </w:rPr>
            </w:pPr>
            <w:r>
              <w:rPr>
                <w:rFonts w:hint="eastAsia" w:cs="Arial"/>
                <w:sz w:val="22"/>
              </w:rPr>
              <w:t xml:space="preserve">  </w:t>
            </w:r>
            <w:r>
              <w:rPr>
                <w:rFonts w:hint="eastAsia" w:cs="Arial"/>
                <w:sz w:val="20"/>
                <w:szCs w:val="20"/>
              </w:rPr>
              <w:t>（二）政府采购授予中小企业合同金额</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eastAsia="宋体" w:cs="Arial"/>
                <w:kern w:val="0"/>
                <w:sz w:val="22"/>
              </w:rPr>
            </w:pPr>
          </w:p>
        </w:tc>
        <w:tc>
          <w:tcPr>
            <w:tcW w:w="993" w:type="dxa"/>
            <w:gridSpan w:val="2"/>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w:t>
            </w:r>
          </w:p>
        </w:tc>
        <w:tc>
          <w:tcPr>
            <w:tcW w:w="3402" w:type="dxa"/>
            <w:tcBorders>
              <w:top w:val="single" w:color="auto" w:sz="4" w:space="0"/>
              <w:left w:val="nil"/>
              <w:bottom w:val="single" w:color="auto" w:sz="4" w:space="0"/>
              <w:right w:val="single" w:color="auto" w:sz="4" w:space="0"/>
            </w:tcBorders>
            <w:vAlign w:val="center"/>
          </w:tcPr>
          <w:p>
            <w:pPr>
              <w:rPr>
                <w:rFonts w:ascii="宋体" w:hAnsi="宋体" w:eastAsia="宋体" w:cs="Arial"/>
                <w:sz w:val="22"/>
              </w:rPr>
            </w:pPr>
            <w:r>
              <w:rPr>
                <w:rFonts w:hint="eastAsia" w:cs="Arial"/>
                <w:sz w:val="22"/>
              </w:rPr>
              <w:t xml:space="preserve">    </w:t>
            </w:r>
            <w:r>
              <w:rPr>
                <w:rFonts w:hint="eastAsia" w:cs="Arial"/>
                <w:sz w:val="20"/>
                <w:szCs w:val="20"/>
              </w:rPr>
              <w:t>其中：授予小微企业合同金额</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right"/>
              <w:rPr>
                <w:rFonts w:ascii="宋体" w:hAnsi="宋体" w:eastAsia="宋体" w:cs="Arial"/>
                <w:kern w:val="0"/>
                <w:sz w:val="22"/>
              </w:rPr>
            </w:pPr>
            <w:r>
              <w:rPr>
                <w:rFonts w:hint="eastAsia" w:ascii="宋体" w:hAnsi="宋体" w:eastAsia="宋体" w:cs="Arial"/>
                <w:kern w:val="0"/>
                <w:sz w:val="22"/>
              </w:rPr>
              <w:t>0.00</w:t>
            </w:r>
          </w:p>
        </w:tc>
      </w:tr>
    </w:tbl>
    <w:p>
      <w:pPr>
        <w:pStyle w:val="8"/>
        <w:rPr>
          <w:rFonts w:ascii="黑体" w:hAnsi="黑体" w:eastAsia="黑体"/>
          <w:color w:val="auto"/>
          <w:sz w:val="36"/>
          <w:szCs w:val="36"/>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rPr>
          <w:rFonts w:ascii="黑体" w:hAnsi="黑体" w:eastAsia="黑体"/>
          <w:sz w:val="36"/>
          <w:szCs w:val="36"/>
        </w:rPr>
      </w:pPr>
      <w:r>
        <w:rPr>
          <w:rFonts w:hint="eastAsia" w:ascii="黑体" w:hAnsi="黑体" w:eastAsia="黑体"/>
          <w:sz w:val="36"/>
          <w:szCs w:val="36"/>
        </w:rPr>
        <w:br w:type="page"/>
      </w:r>
    </w:p>
    <w:p>
      <w:pPr>
        <w:spacing w:line="600" w:lineRule="exact"/>
        <w:jc w:val="center"/>
        <w:rPr>
          <w:rFonts w:ascii="黑体" w:hAnsi="黑体" w:eastAsia="黑体"/>
          <w:sz w:val="36"/>
          <w:szCs w:val="36"/>
        </w:rPr>
      </w:pPr>
      <w:r>
        <w:rPr>
          <w:rFonts w:hint="eastAsia" w:ascii="黑体" w:hAnsi="黑体" w:eastAsia="黑体"/>
          <w:sz w:val="36"/>
          <w:szCs w:val="36"/>
        </w:rPr>
        <w:t>第三部分 2019年度部门决算情况说明</w:t>
      </w:r>
    </w:p>
    <w:p>
      <w:pPr>
        <w:spacing w:line="600" w:lineRule="exact"/>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一、收入支出决算总体情况说明</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2019年连城县档案馆年初结转和结余242.84万元，本年收入144.11万元，本年支出231.12万元，事业基金弥补收支差额0万元，结余分配0万元，年末结转和结余155.83万元。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（一）2019年收入144.11万元，比2018年决算数增加12.04万元，增长9.1％</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w:t>
      </w:r>
      <w:r>
        <w:rPr>
          <w:rFonts w:hint="eastAsia" w:ascii="仿宋" w:hAnsi="仿宋" w:eastAsia="仿宋" w:cs="仿宋_GB2312"/>
          <w:sz w:val="32"/>
          <w:szCs w:val="32"/>
        </w:rPr>
        <w:t>143.61</w:t>
      </w:r>
      <w:r>
        <w:rPr>
          <w:rFonts w:ascii="仿宋" w:hAnsi="仿宋" w:eastAsia="仿宋" w:cs="仿宋_GB2312"/>
          <w:sz w:val="32"/>
          <w:szCs w:val="32"/>
        </w:rPr>
        <w:t>万元，其中政府性基金</w:t>
      </w:r>
      <w:r>
        <w:rPr>
          <w:rFonts w:hint="eastAsia" w:ascii="仿宋" w:hAnsi="仿宋" w:eastAsia="仿宋" w:cs="仿宋_GB2312"/>
          <w:sz w:val="32"/>
          <w:szCs w:val="32"/>
        </w:rPr>
        <w:t>0</w:t>
      </w:r>
      <w:r>
        <w:rPr>
          <w:rFonts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cs="仿宋_GB2312"/>
          <w:sz w:val="32"/>
          <w:szCs w:val="32"/>
        </w:rPr>
        <w:t>0</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rPr>
        <w:t>0.5万元。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（二）2019年支出231.12万元，比2018年决算数减少208.69万元，下降47.5％</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基本支出154.22万元。其中，人员支出123.52万元，公用支出30.7万元。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项目支出76.9万元。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上缴上级支出0万元。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经营支出0万元。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对附属单位补助支出0万元。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二、一般公共预算拨款支出决算情况说明</w:t>
      </w:r>
    </w:p>
    <w:p>
      <w:pPr>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2019</w:t>
      </w:r>
      <w:r>
        <w:rPr>
          <w:rFonts w:hint="eastAsia" w:ascii="仿宋" w:hAnsi="仿宋" w:eastAsia="仿宋"/>
          <w:sz w:val="32"/>
          <w:szCs w:val="32"/>
        </w:rPr>
        <w:t>年一般公共预算拨款支出231.12万元，比上年决算数减少</w:t>
      </w:r>
      <w:r>
        <w:rPr>
          <w:rFonts w:hint="eastAsia" w:ascii="仿宋" w:hAnsi="仿宋" w:eastAsia="仿宋" w:cs="仿宋_GB2312"/>
          <w:sz w:val="32"/>
          <w:szCs w:val="32"/>
        </w:rPr>
        <w:t>208.69</w:t>
      </w:r>
      <w:r>
        <w:rPr>
          <w:rFonts w:hint="eastAsia" w:ascii="仿宋" w:hAnsi="仿宋" w:eastAsia="仿宋"/>
          <w:sz w:val="32"/>
          <w:szCs w:val="32"/>
        </w:rPr>
        <w:t>万元，下降47.5</w:t>
      </w:r>
      <w:r>
        <w:rPr>
          <w:rFonts w:ascii="仿宋" w:hAnsi="仿宋" w:eastAsia="仿宋"/>
          <w:sz w:val="32"/>
          <w:szCs w:val="32"/>
        </w:rPr>
        <w:t>%，具体情况如下：</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（一）2012601行政运行153.14万元，较上年决算数增加31.12万元，增长25.5%。主要原因是人员经费增加。</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（二）2012604档案馆76.9万元，较上年决算数减少240.89万元，下降75.8%。主要原因是档案馆工程已进入财审阶段，工程款等支出减少。</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（三）2012609其他档案事务支出1.08万元，较上年决算数增加1.08万元，增长100</w:t>
      </w:r>
      <w:r>
        <w:rPr>
          <w:rFonts w:ascii="仿宋" w:hAnsi="仿宋" w:eastAsia="仿宋"/>
          <w:sz w:val="32"/>
          <w:szCs w:val="32"/>
        </w:rPr>
        <w:t>%。主要原因是</w:t>
      </w:r>
      <w:r>
        <w:rPr>
          <w:rFonts w:hint="eastAsia" w:ascii="仿宋" w:hAnsi="仿宋" w:eastAsia="仿宋"/>
          <w:sz w:val="32"/>
          <w:szCs w:val="32"/>
        </w:rPr>
        <w:t>增加了新聘请临时人员工资支出</w:t>
      </w:r>
      <w:r>
        <w:rPr>
          <w:rFonts w:ascii="仿宋" w:hAnsi="仿宋" w:eastAsia="仿宋"/>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三、政府性基金支出决算情况说明</w:t>
      </w:r>
    </w:p>
    <w:p>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_GB2312"/>
          <w:sz w:val="32"/>
          <w:szCs w:val="32"/>
        </w:rPr>
        <w:t>2019年度</w:t>
      </w:r>
      <w:r>
        <w:rPr>
          <w:rFonts w:ascii="仿宋" w:hAnsi="仿宋" w:eastAsia="仿宋" w:cs="仿宋_GB2312"/>
          <w:sz w:val="32"/>
          <w:szCs w:val="32"/>
        </w:rPr>
        <w:t>政府性基金支出</w:t>
      </w:r>
      <w:r>
        <w:rPr>
          <w:rFonts w:hint="eastAsia" w:ascii="仿宋" w:hAnsi="仿宋" w:eastAsia="仿宋"/>
          <w:sz w:val="32"/>
          <w:szCs w:val="32"/>
        </w:rPr>
        <w:t>0</w:t>
      </w:r>
      <w:r>
        <w:rPr>
          <w:rFonts w:hint="eastAsia" w:ascii="仿宋" w:hAnsi="仿宋" w:eastAsia="仿宋" w:cs="仿宋_GB2312"/>
          <w:sz w:val="32"/>
          <w:szCs w:val="32"/>
        </w:rPr>
        <w:t>万元，与上年持平。</w:t>
      </w:r>
      <w:r>
        <w:rPr>
          <w:rFonts w:hint="eastAsia" w:ascii="仿宋" w:hAnsi="仿宋" w:eastAsia="仿宋" w:cs="仿宋"/>
          <w:sz w:val="32"/>
          <w:szCs w:val="32"/>
        </w:rPr>
        <w:t>本单位2019年度没有使用政府性基金预算拨款安排的支出。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四、一般公共预算财政拨款基本支出决算情况说明</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2019年度</w:t>
      </w:r>
      <w:r>
        <w:rPr>
          <w:rFonts w:hint="eastAsia" w:ascii="仿宋" w:hAnsi="仿宋" w:eastAsia="仿宋"/>
          <w:sz w:val="32"/>
          <w:szCs w:val="32"/>
        </w:rPr>
        <w:t>一般公共预算</w:t>
      </w:r>
      <w:r>
        <w:rPr>
          <w:rFonts w:hint="eastAsia" w:ascii="仿宋" w:hAnsi="仿宋" w:eastAsia="仿宋" w:cs="仿宋_GB2312"/>
          <w:sz w:val="32"/>
          <w:szCs w:val="32"/>
        </w:rPr>
        <w:t>财政拨款基本支出154.22万元，其中：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123.52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30.7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五、</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“三公”经费支出决算情况说明</w:t>
      </w:r>
    </w:p>
    <w:p>
      <w:pPr>
        <w:tabs>
          <w:tab w:val="left" w:pos="7513"/>
        </w:tabs>
        <w:adjustRightInd w:val="0"/>
        <w:snapToGrid w:val="0"/>
        <w:spacing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rPr>
        <w:t>2019</w:t>
      </w:r>
      <w:r>
        <w:rPr>
          <w:rFonts w:ascii="仿宋" w:hAnsi="仿宋" w:eastAsia="仿宋" w:cs="仿宋_GB2312"/>
          <w:sz w:val="32"/>
          <w:szCs w:val="32"/>
        </w:rPr>
        <w:t>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财政拨款支出0.41万元，比年初预算的2.32万元下降82.7</w:t>
      </w:r>
      <w:r>
        <w:rPr>
          <w:rFonts w:ascii="仿宋" w:hAnsi="仿宋" w:eastAsia="仿宋" w:cs="仿宋_GB2312"/>
          <w:sz w:val="32"/>
          <w:szCs w:val="32"/>
        </w:rPr>
        <w:t>%。</w:t>
      </w:r>
      <w:r>
        <w:rPr>
          <w:rFonts w:hint="eastAsia" w:ascii="仿宋" w:hAnsi="仿宋" w:eastAsia="仿宋" w:cs="仿宋_GB2312"/>
          <w:sz w:val="32"/>
          <w:szCs w:val="32"/>
        </w:rPr>
        <w:t>主要原因是严格执行中央八项规定</w:t>
      </w:r>
      <w:r>
        <w:rPr>
          <w:rFonts w:ascii="仿宋" w:hAnsi="仿宋" w:eastAsia="仿宋" w:cs="仿宋_GB2312"/>
          <w:sz w:val="32"/>
          <w:szCs w:val="32"/>
        </w:rPr>
        <w:t>。具体情况如下：</w:t>
      </w:r>
      <w:r>
        <w:rPr>
          <w:rFonts w:ascii="仿宋" w:hAnsi="仿宋" w:eastAsia="仿宋" w:cs="仿宋_GB2312"/>
          <w:sz w:val="32"/>
          <w:szCs w:val="32"/>
        </w:rPr>
        <w:br w:type="textWrapping"/>
      </w:r>
      <w:r>
        <w:rPr>
          <w:rFonts w:hint="eastAsia" w:ascii="仿宋" w:hAnsi="仿宋" w:eastAsia="仿宋" w:cs="仿宋_GB2312"/>
          <w:sz w:val="32"/>
          <w:szCs w:val="32"/>
        </w:rPr>
        <w:t>　　（一）因公出国（境）费支出0万元，比年初预算的0万元下降0%。全年安排本部门组织的出国团组0个，参加其他部门出国团组0个；全年因公出国（境）累计0人次。</w:t>
      </w:r>
    </w:p>
    <w:p>
      <w:pPr>
        <w:tabs>
          <w:tab w:val="left" w:pos="7513"/>
        </w:tabs>
        <w:adjustRightInd w:val="0"/>
        <w:snapToGrid w:val="0"/>
        <w:spacing w:line="600" w:lineRule="exact"/>
        <w:ind w:firstLine="645"/>
        <w:rPr>
          <w:rFonts w:ascii="仿宋" w:hAnsi="仿宋" w:eastAsia="仿宋" w:cs="仿宋_GB2312"/>
          <w:sz w:val="32"/>
          <w:szCs w:val="32"/>
        </w:rPr>
      </w:pPr>
      <w:r>
        <w:rPr>
          <w:rFonts w:ascii="仿宋" w:hAnsi="仿宋" w:eastAsia="仿宋" w:cs="仿宋_GB2312"/>
          <w:sz w:val="32"/>
          <w:szCs w:val="32"/>
        </w:rPr>
        <w:t>（二）公务用车购置及运行费</w:t>
      </w:r>
      <w:r>
        <w:rPr>
          <w:rFonts w:hint="eastAsia" w:ascii="仿宋" w:hAnsi="仿宋" w:eastAsia="仿宋" w:cs="仿宋_GB2312"/>
          <w:sz w:val="32"/>
          <w:szCs w:val="32"/>
        </w:rPr>
        <w:t>支出0万元，比年初预算的0万元下降0%。</w:t>
      </w:r>
      <w:r>
        <w:rPr>
          <w:rFonts w:ascii="仿宋" w:hAnsi="仿宋" w:eastAsia="仿宋" w:cs="仿宋_GB2312"/>
          <w:sz w:val="32"/>
          <w:szCs w:val="32"/>
        </w:rPr>
        <w:t>其中：</w:t>
      </w:r>
    </w:p>
    <w:p>
      <w:pPr>
        <w:tabs>
          <w:tab w:val="left" w:pos="7513"/>
        </w:tabs>
        <w:adjustRightInd w:val="0"/>
        <w:snapToGrid w:val="0"/>
        <w:spacing w:line="600" w:lineRule="exact"/>
        <w:ind w:firstLine="645"/>
        <w:rPr>
          <w:rFonts w:ascii="仿宋" w:hAnsi="仿宋" w:eastAsia="仿宋" w:cs="仿宋_GB2312"/>
          <w:sz w:val="32"/>
          <w:szCs w:val="32"/>
        </w:rPr>
      </w:pPr>
      <w:r>
        <w:rPr>
          <w:rFonts w:ascii="仿宋" w:hAnsi="仿宋" w:eastAsia="仿宋" w:cs="仿宋_GB2312"/>
          <w:sz w:val="32"/>
          <w:szCs w:val="32"/>
        </w:rPr>
        <w:t>公务用车购置费</w:t>
      </w:r>
      <w:r>
        <w:rPr>
          <w:rFonts w:hint="eastAsia" w:ascii="仿宋" w:hAnsi="仿宋" w:eastAsia="仿宋" w:cs="仿宋_GB2312"/>
          <w:sz w:val="32"/>
          <w:szCs w:val="32"/>
        </w:rPr>
        <w:t>支出0万元，比年初预算的0万元下降0%</w:t>
      </w:r>
      <w:r>
        <w:rPr>
          <w:rFonts w:ascii="仿宋" w:hAnsi="仿宋" w:eastAsia="仿宋" w:cs="仿宋_GB2312"/>
          <w:sz w:val="32"/>
          <w:szCs w:val="32"/>
        </w:rPr>
        <w:t>，</w:t>
      </w:r>
      <w:r>
        <w:rPr>
          <w:rFonts w:hint="eastAsia" w:ascii="仿宋" w:hAnsi="仿宋" w:eastAsia="仿宋" w:cs="仿宋_GB2312"/>
          <w:sz w:val="32"/>
          <w:szCs w:val="32"/>
        </w:rPr>
        <w:t>2019</w:t>
      </w:r>
      <w:r>
        <w:rPr>
          <w:rFonts w:ascii="仿宋" w:hAnsi="仿宋" w:eastAsia="仿宋" w:cs="仿宋_GB2312"/>
          <w:sz w:val="32"/>
          <w:szCs w:val="32"/>
        </w:rPr>
        <w:t>年公务用车购置</w:t>
      </w:r>
      <w:r>
        <w:rPr>
          <w:rFonts w:hint="eastAsia" w:ascii="仿宋" w:hAnsi="仿宋" w:eastAsia="仿宋" w:cs="仿宋_GB2312"/>
          <w:sz w:val="32"/>
          <w:szCs w:val="32"/>
        </w:rPr>
        <w:t>0辆</w:t>
      </w:r>
      <w:r>
        <w:rPr>
          <w:rFonts w:ascii="仿宋" w:hAnsi="仿宋" w:eastAsia="仿宋" w:cs="仿宋_GB2312"/>
          <w:sz w:val="32"/>
          <w:szCs w:val="32"/>
        </w:rPr>
        <w:t>。</w:t>
      </w:r>
    </w:p>
    <w:p>
      <w:pPr>
        <w:tabs>
          <w:tab w:val="left" w:pos="7513"/>
        </w:tabs>
        <w:adjustRightInd w:val="0"/>
        <w:snapToGrid w:val="0"/>
        <w:spacing w:line="600" w:lineRule="exact"/>
        <w:ind w:firstLine="645"/>
        <w:rPr>
          <w:rFonts w:ascii="仿宋" w:hAnsi="仿宋" w:eastAsia="仿宋" w:cs="仿宋_GB2312"/>
          <w:spacing w:val="-6"/>
          <w:sz w:val="32"/>
          <w:szCs w:val="32"/>
        </w:rPr>
      </w:pPr>
      <w:r>
        <w:rPr>
          <w:rFonts w:hint="eastAsia" w:ascii="仿宋" w:hAnsi="仿宋" w:eastAsia="仿宋" w:cs="仿宋_GB2312"/>
          <w:spacing w:val="-6"/>
          <w:sz w:val="32"/>
          <w:szCs w:val="32"/>
        </w:rPr>
        <w:t>公务用车运行费支出0万元，比年初预算的0万元下降0%。截至</w:t>
      </w:r>
      <w:r>
        <w:rPr>
          <w:rFonts w:ascii="仿宋" w:hAnsi="仿宋" w:eastAsia="仿宋" w:cs="仿宋_GB2312"/>
          <w:spacing w:val="-6"/>
          <w:sz w:val="32"/>
          <w:szCs w:val="32"/>
        </w:rPr>
        <w:t>2019</w:t>
      </w:r>
      <w:r>
        <w:rPr>
          <w:rFonts w:hint="eastAsia" w:ascii="仿宋" w:hAnsi="仿宋" w:eastAsia="仿宋" w:cs="仿宋_GB2312"/>
          <w:spacing w:val="-6"/>
          <w:sz w:val="32"/>
          <w:szCs w:val="32"/>
        </w:rPr>
        <w:t>年</w:t>
      </w:r>
      <w:r>
        <w:rPr>
          <w:rFonts w:ascii="仿宋" w:hAnsi="仿宋" w:eastAsia="仿宋" w:cs="仿宋_GB2312"/>
          <w:spacing w:val="-6"/>
          <w:sz w:val="32"/>
          <w:szCs w:val="32"/>
        </w:rPr>
        <w:t>12</w:t>
      </w:r>
      <w:r>
        <w:rPr>
          <w:rFonts w:hint="eastAsia" w:ascii="仿宋" w:hAnsi="仿宋" w:eastAsia="仿宋" w:cs="仿宋_GB2312"/>
          <w:spacing w:val="-6"/>
          <w:sz w:val="32"/>
          <w:szCs w:val="32"/>
        </w:rPr>
        <w:t>月</w:t>
      </w:r>
      <w:r>
        <w:rPr>
          <w:rFonts w:ascii="仿宋" w:hAnsi="仿宋" w:eastAsia="仿宋" w:cs="仿宋_GB2312"/>
          <w:spacing w:val="-6"/>
          <w:sz w:val="32"/>
          <w:szCs w:val="32"/>
        </w:rPr>
        <w:t>31</w:t>
      </w:r>
      <w:r>
        <w:rPr>
          <w:rFonts w:hint="eastAsia" w:ascii="仿宋" w:hAnsi="仿宋" w:eastAsia="仿宋" w:cs="仿宋_GB2312"/>
          <w:spacing w:val="-6"/>
          <w:sz w:val="32"/>
          <w:szCs w:val="32"/>
        </w:rPr>
        <w:t>日，本部门公务用车保有量为0辆</w:t>
      </w:r>
      <w:r>
        <w:rPr>
          <w:rFonts w:ascii="仿宋" w:hAnsi="仿宋" w:eastAsia="仿宋" w:cs="仿宋_GB2312"/>
          <w:spacing w:val="-6"/>
          <w:sz w:val="32"/>
          <w:szCs w:val="32"/>
        </w:rPr>
        <w:t>。</w:t>
      </w:r>
    </w:p>
    <w:p>
      <w:pPr>
        <w:tabs>
          <w:tab w:val="left" w:pos="7513"/>
        </w:tabs>
        <w:adjustRightInd w:val="0"/>
        <w:snapToGrid w:val="0"/>
        <w:spacing w:line="600" w:lineRule="exact"/>
        <w:rPr>
          <w:rFonts w:ascii="仿宋" w:hAnsi="仿宋" w:eastAsia="仿宋" w:cs="仿宋_GB2312"/>
          <w:sz w:val="32"/>
          <w:szCs w:val="32"/>
        </w:rPr>
      </w:pPr>
      <w:r>
        <w:rPr>
          <w:rFonts w:hint="eastAsia" w:ascii="仿宋" w:hAnsi="仿宋" w:eastAsia="仿宋" w:cs="仿宋_GB2312"/>
          <w:sz w:val="32"/>
          <w:szCs w:val="32"/>
        </w:rPr>
        <w:t>　　（三）公务接待费支出0.41万元，比年初预算的2.32万元下降82.7</w:t>
      </w:r>
      <w:r>
        <w:rPr>
          <w:rFonts w:ascii="仿宋" w:hAnsi="仿宋" w:eastAsia="仿宋" w:cs="仿宋_GB2312"/>
          <w:sz w:val="32"/>
          <w:szCs w:val="32"/>
        </w:rPr>
        <w:t>%</w:t>
      </w:r>
      <w:r>
        <w:rPr>
          <w:rFonts w:hint="eastAsia" w:ascii="仿宋" w:hAnsi="仿宋" w:eastAsia="仿宋" w:cs="仿宋_GB2312"/>
          <w:sz w:val="32"/>
          <w:szCs w:val="32"/>
        </w:rPr>
        <w:t>。主要是严格执行中央八项规定，接待人员减少，累计接待4批次、19人次。</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六、预算绩效情况说明</w:t>
      </w:r>
    </w:p>
    <w:p>
      <w:pPr>
        <w:ind w:firstLine="643" w:firstLineChars="200"/>
        <w:rPr>
          <w:rFonts w:ascii="楷体" w:hAnsi="楷体" w:eastAsia="楷体"/>
          <w:b/>
          <w:sz w:val="32"/>
          <w:szCs w:val="32"/>
        </w:rPr>
      </w:pPr>
      <w:r>
        <w:rPr>
          <w:rFonts w:hint="eastAsia" w:ascii="楷体" w:hAnsi="楷体" w:eastAsia="楷体"/>
          <w:b/>
          <w:sz w:val="32"/>
          <w:szCs w:val="32"/>
        </w:rPr>
        <w:t>（一）绩效管理工作开展情况</w:t>
      </w:r>
    </w:p>
    <w:p>
      <w:pPr>
        <w:ind w:firstLine="640" w:firstLineChars="200"/>
        <w:rPr>
          <w:rFonts w:ascii="仿宋" w:hAnsi="仿宋" w:eastAsia="仿宋"/>
          <w:sz w:val="32"/>
          <w:szCs w:val="32"/>
        </w:rPr>
      </w:pPr>
      <w:r>
        <w:rPr>
          <w:rFonts w:hint="eastAsia" w:ascii="仿宋" w:hAnsi="仿宋" w:eastAsia="仿宋"/>
          <w:sz w:val="32"/>
          <w:szCs w:val="32"/>
        </w:rPr>
        <w:t>根据预算绩效管理要求，共对2019年0个清单项目实施绩效监控，涉及财政拨款资金0万元。同时，对2019年0万元业务费实施绩效监控。</w:t>
      </w:r>
    </w:p>
    <w:p>
      <w:pPr>
        <w:ind w:firstLine="643" w:firstLineChars="200"/>
        <w:rPr>
          <w:rFonts w:ascii="仿宋" w:hAnsi="仿宋" w:eastAsia="仿宋"/>
          <w:b/>
          <w:sz w:val="32"/>
          <w:szCs w:val="32"/>
        </w:rPr>
      </w:pPr>
      <w:r>
        <w:rPr>
          <w:rFonts w:hint="eastAsia" w:ascii="仿宋" w:hAnsi="仿宋" w:eastAsia="仿宋"/>
          <w:b/>
          <w:sz w:val="32"/>
          <w:szCs w:val="32"/>
        </w:rPr>
        <w:t>（二）绩效自评工作开展情况</w:t>
      </w:r>
    </w:p>
    <w:p>
      <w:pPr>
        <w:ind w:firstLine="640" w:firstLineChars="200"/>
        <w:rPr>
          <w:rFonts w:ascii="仿宋" w:hAnsi="仿宋" w:eastAsia="仿宋"/>
          <w:sz w:val="32"/>
          <w:szCs w:val="32"/>
        </w:rPr>
      </w:pPr>
      <w:r>
        <w:rPr>
          <w:rFonts w:hint="eastAsia" w:ascii="仿宋" w:hAnsi="仿宋" w:eastAsia="仿宋"/>
          <w:sz w:val="32"/>
          <w:szCs w:val="32"/>
        </w:rPr>
        <w:t>共对2019年度0个部门业务费开展绩效自评，涉及财政拨款资金共计0万元。根据年初设定的绩效目标，本年度绩效自评主要采取“对标评价”的方式展开，自评结果等次为“优”“良”“中”“差”的项目各是0个。</w:t>
      </w:r>
    </w:p>
    <w:p>
      <w:pPr>
        <w:ind w:firstLine="640" w:firstLineChars="200"/>
        <w:rPr>
          <w:rFonts w:ascii="仿宋" w:hAnsi="仿宋" w:eastAsia="仿宋"/>
          <w:sz w:val="32"/>
          <w:szCs w:val="32"/>
        </w:rPr>
      </w:pPr>
      <w:r>
        <w:rPr>
          <w:rFonts w:hint="eastAsia" w:ascii="仿宋" w:hAnsi="仿宋" w:eastAsia="仿宋"/>
          <w:sz w:val="32"/>
          <w:szCs w:val="32"/>
        </w:rPr>
        <w:t>共对2019年度0个部门共计0个清单项目实施绩效自评，涉及财政拨款资金共计0万元。评价结果为“优”的项目是0个，“良”的项目是0个，“中”的项目是0个，“差”的项目是0个。</w:t>
      </w:r>
    </w:p>
    <w:p>
      <w:pPr>
        <w:ind w:firstLine="643" w:firstLineChars="200"/>
        <w:rPr>
          <w:rFonts w:ascii="仿宋" w:hAnsi="仿宋" w:eastAsia="仿宋"/>
          <w:b/>
          <w:sz w:val="32"/>
          <w:szCs w:val="32"/>
        </w:rPr>
      </w:pPr>
      <w:r>
        <w:rPr>
          <w:rFonts w:hint="eastAsia" w:ascii="仿宋" w:hAnsi="仿宋" w:eastAsia="仿宋"/>
          <w:b/>
          <w:sz w:val="32"/>
          <w:szCs w:val="32"/>
        </w:rPr>
        <w:t>（三）重点评价工作开展情况</w:t>
      </w:r>
    </w:p>
    <w:p>
      <w:pPr>
        <w:ind w:firstLine="640" w:firstLineChars="200"/>
        <w:jc w:val="left"/>
        <w:rPr>
          <w:rFonts w:ascii="仿宋" w:hAnsi="仿宋" w:eastAsia="仿宋"/>
          <w:sz w:val="32"/>
          <w:szCs w:val="32"/>
        </w:rPr>
      </w:pPr>
      <w:r>
        <w:rPr>
          <w:rFonts w:hint="eastAsia" w:ascii="仿宋" w:hAnsi="仿宋" w:eastAsia="仿宋"/>
          <w:sz w:val="32"/>
          <w:szCs w:val="32"/>
        </w:rPr>
        <w:t>共对2019年度共计0个清单项目实施财政重点评价，涉及财政拨款资金共计0万元，涉及0个领域。评价结果为“优”的项目是0个，“良”的项目是0个，“中”的项目是0个，“差”的项目是0个。</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七、其他重要事项说明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r>
        <w:rPr>
          <w:rFonts w:ascii="黑体" w:hAnsi="黑体" w:eastAsia="黑体" w:cs="仿宋_GB2312"/>
          <w:bCs/>
          <w:sz w:val="32"/>
          <w:szCs w:val="32"/>
        </w:rPr>
        <w:t xml:space="preserve"> </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2019年度</w:t>
      </w:r>
      <w:r>
        <w:rPr>
          <w:rFonts w:ascii="仿宋" w:hAnsi="仿宋" w:eastAsia="仿宋" w:cs="仿宋_GB2312"/>
          <w:sz w:val="32"/>
          <w:szCs w:val="32"/>
        </w:rPr>
        <w:t>机关运行经费支出</w:t>
      </w:r>
      <w:r>
        <w:rPr>
          <w:rFonts w:hint="eastAsia" w:ascii="仿宋" w:hAnsi="仿宋" w:eastAsia="仿宋" w:cs="仿宋_GB2312"/>
          <w:sz w:val="32"/>
          <w:szCs w:val="32"/>
        </w:rPr>
        <w:t>30.7</w:t>
      </w:r>
      <w:r>
        <w:rPr>
          <w:rFonts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决算数增长</w:t>
      </w:r>
      <w:r>
        <w:rPr>
          <w:rFonts w:hint="eastAsia" w:ascii="仿宋" w:hAnsi="仿宋" w:eastAsia="仿宋" w:cs="仿宋_GB2312"/>
          <w:sz w:val="32"/>
          <w:szCs w:val="32"/>
        </w:rPr>
        <w:t>77.8</w:t>
      </w:r>
      <w:r>
        <w:rPr>
          <w:rFonts w:ascii="仿宋" w:hAnsi="仿宋" w:eastAsia="仿宋" w:cs="仿宋_GB2312"/>
          <w:sz w:val="32"/>
          <w:szCs w:val="32"/>
        </w:rPr>
        <w:t>%，主要是:</w:t>
      </w:r>
      <w:r>
        <w:rPr>
          <w:rFonts w:hint="eastAsia" w:ascii="仿宋" w:hAnsi="仿宋" w:eastAsia="仿宋" w:cs="仿宋_GB2312"/>
          <w:sz w:val="32"/>
          <w:szCs w:val="32"/>
        </w:rPr>
        <w:t>人员经费和公用经费增加</w:t>
      </w:r>
      <w:r>
        <w:rPr>
          <w:rFonts w:ascii="仿宋" w:hAnsi="仿宋" w:eastAsia="仿宋" w:cs="仿宋_GB2312"/>
          <w:sz w:val="32"/>
          <w:szCs w:val="32"/>
        </w:rPr>
        <w:t>。</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本单位2019年度没有政府采购支出。</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r>
        <w:rPr>
          <w:rFonts w:ascii="黑体" w:hAnsi="黑体" w:eastAsia="黑体"/>
          <w:sz w:val="32"/>
          <w:szCs w:val="32"/>
        </w:rPr>
        <w:t xml:space="preserve"> </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2019</w:t>
      </w:r>
      <w:r>
        <w:rPr>
          <w:rFonts w:hint="eastAsia" w:ascii="仿宋" w:hAnsi="仿宋" w:eastAsia="仿宋" w:cs="仿宋_GB2312"/>
          <w:kern w:val="0"/>
          <w:sz w:val="32"/>
          <w:szCs w:val="32"/>
        </w:rPr>
        <w:t>年</w:t>
      </w:r>
      <w:r>
        <w:rPr>
          <w:rFonts w:ascii="仿宋" w:hAnsi="仿宋" w:eastAsia="仿宋" w:cs="仿宋_GB2312"/>
          <w:kern w:val="0"/>
          <w:sz w:val="32"/>
          <w:szCs w:val="32"/>
        </w:rPr>
        <w:t>12月31日，本部门共有车辆</w:t>
      </w:r>
      <w:r>
        <w:rPr>
          <w:rFonts w:hint="eastAsia" w:ascii="仿宋" w:hAnsi="仿宋" w:eastAsia="仿宋" w:cs="仿宋_GB2312"/>
          <w:sz w:val="32"/>
          <w:szCs w:val="32"/>
        </w:rPr>
        <w:t>0</w:t>
      </w:r>
      <w:r>
        <w:rPr>
          <w:rFonts w:hint="eastAsia" w:ascii="仿宋" w:hAnsi="仿宋" w:eastAsia="仿宋" w:cs="仿宋_GB2312"/>
          <w:kern w:val="0"/>
          <w:sz w:val="32"/>
          <w:szCs w:val="32"/>
        </w:rPr>
        <w:t>辆，其中：副部（省）级以上领导用车</w:t>
      </w:r>
      <w:r>
        <w:rPr>
          <w:rFonts w:hint="eastAsia" w:ascii="仿宋" w:hAnsi="仿宋" w:eastAsia="仿宋" w:cs="仿宋_GB2312"/>
          <w:sz w:val="32"/>
          <w:szCs w:val="32"/>
        </w:rPr>
        <w:t>0</w:t>
      </w:r>
      <w:r>
        <w:rPr>
          <w:rFonts w:hint="eastAsia" w:ascii="仿宋" w:hAnsi="仿宋" w:eastAsia="仿宋" w:cs="仿宋_GB2312"/>
          <w:kern w:val="0"/>
          <w:sz w:val="32"/>
          <w:szCs w:val="32"/>
        </w:rPr>
        <w:t>辆、主要领导干部用车</w:t>
      </w:r>
      <w:r>
        <w:rPr>
          <w:rFonts w:hint="eastAsia" w:ascii="仿宋" w:hAnsi="仿宋" w:eastAsia="仿宋" w:cs="仿宋_GB2312"/>
          <w:sz w:val="32"/>
          <w:szCs w:val="32"/>
        </w:rPr>
        <w:t>0</w:t>
      </w:r>
      <w:r>
        <w:rPr>
          <w:rFonts w:hint="eastAsia" w:ascii="仿宋" w:hAnsi="仿宋" w:eastAsia="仿宋" w:cs="仿宋_GB2312"/>
          <w:kern w:val="0"/>
          <w:sz w:val="32"/>
          <w:szCs w:val="32"/>
        </w:rPr>
        <w:t>辆、机要通信用车</w:t>
      </w:r>
      <w:r>
        <w:rPr>
          <w:rFonts w:hint="eastAsia" w:ascii="仿宋" w:hAnsi="仿宋" w:eastAsia="仿宋" w:cs="仿宋_GB2312"/>
          <w:sz w:val="32"/>
          <w:szCs w:val="32"/>
        </w:rPr>
        <w:t>0</w:t>
      </w:r>
      <w:r>
        <w:rPr>
          <w:rFonts w:hint="eastAsia" w:ascii="仿宋" w:hAnsi="仿宋" w:eastAsia="仿宋" w:cs="仿宋_GB2312"/>
          <w:kern w:val="0"/>
          <w:sz w:val="32"/>
          <w:szCs w:val="32"/>
        </w:rPr>
        <w:t>辆、应急保障用车</w:t>
      </w:r>
      <w:r>
        <w:rPr>
          <w:rFonts w:hint="eastAsia" w:ascii="仿宋" w:hAnsi="仿宋" w:eastAsia="仿宋" w:cs="仿宋_GB2312"/>
          <w:sz w:val="32"/>
          <w:szCs w:val="32"/>
        </w:rPr>
        <w:t>0</w:t>
      </w:r>
      <w:r>
        <w:rPr>
          <w:rFonts w:hint="eastAsia" w:ascii="仿宋" w:hAnsi="仿宋" w:eastAsia="仿宋" w:cs="仿宋_GB2312"/>
          <w:kern w:val="0"/>
          <w:sz w:val="32"/>
          <w:szCs w:val="32"/>
        </w:rPr>
        <w:t>辆、执法执勤用车</w:t>
      </w:r>
      <w:r>
        <w:rPr>
          <w:rFonts w:hint="eastAsia" w:ascii="仿宋" w:hAnsi="仿宋" w:eastAsia="仿宋" w:cs="仿宋_GB2312"/>
          <w:sz w:val="32"/>
          <w:szCs w:val="32"/>
        </w:rPr>
        <w:t>0</w:t>
      </w:r>
      <w:r>
        <w:rPr>
          <w:rFonts w:hint="eastAsia" w:ascii="仿宋" w:hAnsi="仿宋" w:eastAsia="仿宋" w:cs="仿宋_GB2312"/>
          <w:kern w:val="0"/>
          <w:sz w:val="32"/>
          <w:szCs w:val="32"/>
        </w:rPr>
        <w:t>辆、特种专业技术用车</w:t>
      </w:r>
      <w:r>
        <w:rPr>
          <w:rFonts w:hint="eastAsia" w:ascii="仿宋" w:hAnsi="仿宋" w:eastAsia="仿宋" w:cs="仿宋_GB2312"/>
          <w:sz w:val="32"/>
          <w:szCs w:val="32"/>
        </w:rPr>
        <w:t>0</w:t>
      </w:r>
      <w:r>
        <w:rPr>
          <w:rFonts w:hint="eastAsia" w:ascii="仿宋" w:hAnsi="仿宋" w:eastAsia="仿宋" w:cs="仿宋_GB2312"/>
          <w:kern w:val="0"/>
          <w:sz w:val="32"/>
          <w:szCs w:val="32"/>
        </w:rPr>
        <w:t>辆、离退休干部用车</w:t>
      </w:r>
      <w:r>
        <w:rPr>
          <w:rFonts w:hint="eastAsia" w:ascii="仿宋" w:hAnsi="仿宋" w:eastAsia="仿宋" w:cs="仿宋_GB2312"/>
          <w:sz w:val="32"/>
          <w:szCs w:val="32"/>
        </w:rPr>
        <w:t>0</w:t>
      </w:r>
      <w:r>
        <w:rPr>
          <w:rFonts w:hint="eastAsia" w:ascii="仿宋" w:hAnsi="仿宋" w:eastAsia="仿宋" w:cs="仿宋_GB2312"/>
          <w:kern w:val="0"/>
          <w:sz w:val="32"/>
          <w:szCs w:val="32"/>
        </w:rPr>
        <w:t>辆、其他用车</w:t>
      </w:r>
      <w:r>
        <w:rPr>
          <w:rFonts w:hint="eastAsia" w:ascii="仿宋" w:hAnsi="仿宋" w:eastAsia="仿宋" w:cs="仿宋_GB2312"/>
          <w:sz w:val="32"/>
          <w:szCs w:val="32"/>
        </w:rPr>
        <w:t>0</w:t>
      </w:r>
      <w:r>
        <w:rPr>
          <w:rFonts w:hint="eastAsia" w:ascii="仿宋" w:hAnsi="仿宋" w:eastAsia="仿宋" w:cs="仿宋_GB2312"/>
          <w:kern w:val="0"/>
          <w:sz w:val="32"/>
          <w:szCs w:val="32"/>
        </w:rPr>
        <w:t>辆；单价</w:t>
      </w:r>
      <w:r>
        <w:rPr>
          <w:rFonts w:ascii="仿宋" w:hAnsi="仿宋" w:eastAsia="仿宋" w:cs="仿宋_GB2312"/>
          <w:kern w:val="0"/>
          <w:sz w:val="32"/>
          <w:szCs w:val="32"/>
        </w:rPr>
        <w:t>50万元（含）以上通用设备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100万元（含）以上专用设备</w:t>
      </w:r>
      <w:r>
        <w:rPr>
          <w:rFonts w:hint="eastAsia" w:ascii="仿宋" w:hAnsi="仿宋" w:eastAsia="仿宋" w:cs="仿宋_GB2312"/>
          <w:sz w:val="32"/>
          <w:szCs w:val="32"/>
        </w:rPr>
        <w:t>1</w:t>
      </w:r>
      <w:r>
        <w:rPr>
          <w:rFonts w:hint="eastAsia" w:ascii="仿宋" w:hAnsi="仿宋" w:eastAsia="仿宋" w:cs="仿宋_GB2312"/>
          <w:kern w:val="0"/>
          <w:sz w:val="32"/>
          <w:szCs w:val="32"/>
        </w:rPr>
        <w:t>台（套）。</w:t>
      </w:r>
    </w:p>
    <w:p>
      <w:pPr>
        <w:autoSpaceDE w:val="0"/>
        <w:autoSpaceDN w:val="0"/>
        <w:adjustRightInd w:val="0"/>
        <w:spacing w:line="600" w:lineRule="exact"/>
        <w:ind w:firstLine="640" w:firstLineChars="200"/>
        <w:jc w:val="left"/>
        <w:rPr>
          <w:rFonts w:ascii="仿宋" w:hAnsi="仿宋" w:eastAsia="仿宋" w:cs="仿宋_GB2312"/>
          <w:sz w:val="32"/>
          <w:szCs w:val="32"/>
        </w:rPr>
      </w:pPr>
    </w:p>
    <w:p>
      <w:pPr>
        <w:rPr>
          <w:rFonts w:ascii="黑体" w:hAnsi="黑体" w:eastAsia="黑体"/>
          <w:sz w:val="36"/>
          <w:szCs w:val="36"/>
        </w:rPr>
      </w:pPr>
      <w:r>
        <w:rPr>
          <w:rFonts w:hint="eastAsia" w:ascii="黑体" w:hAnsi="黑体" w:eastAsia="黑体"/>
          <w:sz w:val="36"/>
          <w:szCs w:val="36"/>
        </w:rPr>
        <w:br w:type="page"/>
      </w:r>
    </w:p>
    <w:p>
      <w:pPr>
        <w:autoSpaceDE w:val="0"/>
        <w:autoSpaceDN w:val="0"/>
        <w:adjustRightInd w:val="0"/>
        <w:spacing w:line="600" w:lineRule="exact"/>
        <w:ind w:firstLine="720" w:firstLineChars="200"/>
        <w:jc w:val="center"/>
        <w:rPr>
          <w:rFonts w:ascii="仿宋" w:hAnsi="仿宋" w:eastAsia="仿宋"/>
          <w:b/>
          <w:sz w:val="32"/>
          <w:szCs w:val="32"/>
        </w:rPr>
      </w:pPr>
      <w:r>
        <w:rPr>
          <w:rFonts w:hint="eastAsia" w:ascii="黑体" w:hAnsi="黑体" w:eastAsia="黑体"/>
          <w:sz w:val="36"/>
          <w:szCs w:val="36"/>
        </w:rPr>
        <w:t>第四部分 名词解释</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p>
    <w:p>
      <w:pPr>
        <w:spacing w:line="600" w:lineRule="exact"/>
        <w:ind w:firstLine="707" w:firstLineChars="221"/>
        <w:rPr>
          <w:rFonts w:ascii="仿宋" w:hAnsi="仿宋" w:eastAsia="仿宋" w:cs="仿宋"/>
          <w:kern w:val="0"/>
          <w:sz w:val="32"/>
          <w:szCs w:val="32"/>
        </w:rPr>
      </w:pPr>
      <w:r>
        <w:rPr>
          <w:rFonts w:hint="eastAsia" w:ascii="仿宋" w:hAnsi="仿宋" w:eastAsia="仿宋" w:cs="仿宋"/>
          <w:kern w:val="0"/>
          <w:sz w:val="32"/>
          <w:szCs w:val="32"/>
        </w:rPr>
        <w:t xml:space="preserve">一、财政拨款收入：指省级财政当年拨付的资金。 </w:t>
      </w:r>
    </w:p>
    <w:p>
      <w:pPr>
        <w:spacing w:line="600" w:lineRule="exact"/>
        <w:ind w:firstLine="707" w:firstLineChars="221"/>
        <w:rPr>
          <w:rFonts w:ascii="仿宋" w:hAnsi="仿宋" w:eastAsia="仿宋" w:cs="仿宋"/>
          <w:kern w:val="0"/>
          <w:sz w:val="32"/>
          <w:szCs w:val="32"/>
        </w:rPr>
      </w:pPr>
      <w:r>
        <w:rPr>
          <w:rFonts w:hint="eastAsia" w:ascii="仿宋" w:hAnsi="仿宋" w:eastAsia="仿宋" w:cs="仿宋"/>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kern w:val="0"/>
          <w:sz w:val="32"/>
          <w:szCs w:val="32"/>
        </w:rPr>
      </w:pPr>
      <w:r>
        <w:rPr>
          <w:rFonts w:hint="eastAsia" w:ascii="仿宋" w:hAnsi="仿宋" w:eastAsia="仿宋" w:cs="仿宋"/>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kern w:val="0"/>
          <w:sz w:val="32"/>
          <w:szCs w:val="32"/>
        </w:rPr>
      </w:pPr>
      <w:r>
        <w:rPr>
          <w:rFonts w:hint="eastAsia" w:ascii="仿宋" w:hAnsi="仿宋" w:eastAsia="仿宋" w:cs="仿宋"/>
          <w:kern w:val="0"/>
          <w:sz w:val="32"/>
          <w:szCs w:val="32"/>
        </w:rPr>
        <w:t>四、其他收入：指除上述</w:t>
      </w:r>
      <w:r>
        <w:rPr>
          <w:rFonts w:ascii="仿宋" w:hAnsi="仿宋" w:eastAsia="仿宋" w:cs="仿宋"/>
          <w:kern w:val="0"/>
          <w:sz w:val="32"/>
          <w:szCs w:val="32"/>
        </w:rPr>
        <w:t>“</w:t>
      </w:r>
      <w:r>
        <w:rPr>
          <w:rFonts w:hint="eastAsia" w:ascii="仿宋" w:hAnsi="仿宋" w:eastAsia="仿宋" w:cs="仿宋"/>
          <w:kern w:val="0"/>
          <w:sz w:val="32"/>
          <w:szCs w:val="32"/>
        </w:rPr>
        <w:t>财政拨款收入</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事业收入</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经营收入</w:t>
      </w:r>
      <w:r>
        <w:rPr>
          <w:rFonts w:ascii="仿宋" w:hAnsi="仿宋" w:eastAsia="仿宋" w:cs="仿宋"/>
          <w:kern w:val="0"/>
          <w:sz w:val="32"/>
          <w:szCs w:val="32"/>
        </w:rPr>
        <w:t>”</w:t>
      </w:r>
      <w:r>
        <w:rPr>
          <w:rFonts w:hint="eastAsia" w:ascii="仿宋" w:hAnsi="仿宋" w:eastAsia="仿宋" w:cs="仿宋"/>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kern w:val="0"/>
          <w:sz w:val="32"/>
          <w:szCs w:val="32"/>
        </w:rPr>
      </w:pPr>
      <w:r>
        <w:rPr>
          <w:rFonts w:hint="eastAsia" w:ascii="仿宋" w:hAnsi="仿宋" w:eastAsia="仿宋" w:cs="仿宋"/>
          <w:kern w:val="0"/>
          <w:sz w:val="32"/>
          <w:szCs w:val="32"/>
        </w:rPr>
        <w:t>五、用事业基金弥补收支差额：指事业单位在当年的</w:t>
      </w:r>
      <w:r>
        <w:rPr>
          <w:rFonts w:ascii="仿宋" w:hAnsi="仿宋" w:eastAsia="仿宋" w:cs="仿宋"/>
          <w:kern w:val="0"/>
          <w:sz w:val="32"/>
          <w:szCs w:val="32"/>
        </w:rPr>
        <w:t>“</w:t>
      </w:r>
      <w:r>
        <w:rPr>
          <w:rFonts w:hint="eastAsia" w:ascii="仿宋" w:hAnsi="仿宋" w:eastAsia="仿宋" w:cs="仿宋"/>
          <w:kern w:val="0"/>
          <w:sz w:val="32"/>
          <w:szCs w:val="32"/>
        </w:rPr>
        <w:t>财政拨款收入</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事业收入</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经营收入</w:t>
      </w:r>
      <w:r>
        <w:rPr>
          <w:rFonts w:ascii="仿宋" w:hAnsi="仿宋" w:eastAsia="仿宋" w:cs="仿宋"/>
          <w:kern w:val="0"/>
          <w:sz w:val="32"/>
          <w:szCs w:val="32"/>
        </w:rPr>
        <w:t>”</w:t>
      </w:r>
      <w:r>
        <w:rPr>
          <w:rFonts w:hint="eastAsia" w:ascii="仿宋" w:hAnsi="仿宋" w:eastAsia="仿宋" w:cs="仿宋"/>
          <w:kern w:val="0"/>
          <w:sz w:val="32"/>
          <w:szCs w:val="32"/>
        </w:rPr>
        <w:t>、</w:t>
      </w:r>
      <w:r>
        <w:rPr>
          <w:rFonts w:ascii="仿宋" w:hAnsi="仿宋" w:eastAsia="仿宋" w:cs="仿宋"/>
          <w:kern w:val="0"/>
          <w:sz w:val="32"/>
          <w:szCs w:val="32"/>
        </w:rPr>
        <w:t>“</w:t>
      </w:r>
      <w:r>
        <w:rPr>
          <w:rFonts w:hint="eastAsia" w:ascii="仿宋" w:hAnsi="仿宋" w:eastAsia="仿宋" w:cs="仿宋"/>
          <w:kern w:val="0"/>
          <w:sz w:val="32"/>
          <w:szCs w:val="32"/>
        </w:rPr>
        <w:t>其他收入</w:t>
      </w:r>
      <w:r>
        <w:rPr>
          <w:rFonts w:ascii="仿宋" w:hAnsi="仿宋" w:eastAsia="仿宋" w:cs="仿宋"/>
          <w:kern w:val="0"/>
          <w:sz w:val="32"/>
          <w:szCs w:val="32"/>
        </w:rPr>
        <w:t>”</w:t>
      </w:r>
      <w:r>
        <w:rPr>
          <w:rFonts w:hint="eastAsia" w:ascii="仿宋" w:hAnsi="仿宋" w:eastAsia="仿宋" w:cs="仿宋"/>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kern w:val="0"/>
          <w:sz w:val="32"/>
          <w:szCs w:val="32"/>
        </w:rPr>
      </w:pPr>
      <w:r>
        <w:rPr>
          <w:rFonts w:hint="eastAsia" w:ascii="仿宋" w:hAnsi="仿宋" w:eastAsia="仿宋" w:cs="仿宋"/>
          <w:kern w:val="0"/>
          <w:sz w:val="32"/>
          <w:szCs w:val="32"/>
        </w:rPr>
        <w:t>六、年初结转和结余：指以前年度尚未完成、结转到本年</w:t>
      </w:r>
      <w:r>
        <w:rPr>
          <w:rFonts w:ascii="仿宋" w:hAnsi="仿宋" w:eastAsia="仿宋" w:cs="仿宋"/>
          <w:kern w:val="0"/>
          <w:sz w:val="32"/>
          <w:szCs w:val="32"/>
        </w:rPr>
        <w:t xml:space="preserve"> </w:t>
      </w:r>
      <w:r>
        <w:rPr>
          <w:rFonts w:hint="eastAsia" w:ascii="仿宋" w:hAnsi="仿宋" w:eastAsia="仿宋" w:cs="仿宋"/>
          <w:kern w:val="0"/>
          <w:sz w:val="32"/>
          <w:szCs w:val="32"/>
        </w:rPr>
        <w:t>按有关规定继续使用的资金。</w:t>
      </w:r>
    </w:p>
    <w:p>
      <w:pPr>
        <w:pStyle w:val="8"/>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七、结余分配：指事业单位按规定提取的职工福利基金、事业基金和缴纳的所得税，以及建设单位按规定应交回的基本建设竣工项目结余资金。 </w:t>
      </w:r>
    </w:p>
    <w:p>
      <w:pPr>
        <w:pStyle w:val="8"/>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八、年末结转和结余：指本年度或以前年度预算安排、因客观条件发生变化无法按原计划实施，需延迟到以后年度按有关规定继续使用的资金。 </w:t>
      </w:r>
    </w:p>
    <w:p>
      <w:pPr>
        <w:pStyle w:val="8"/>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九、基本支出：指为保障机构正常运转、完成日常工作任务而发生的人员支出和公用支出。 </w:t>
      </w:r>
    </w:p>
    <w:p>
      <w:pPr>
        <w:pStyle w:val="8"/>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十、项目支出：指在基本支出之外为完成特定行政任务和事业发展目标所发生的支出。 </w:t>
      </w:r>
    </w:p>
    <w:p>
      <w:pPr>
        <w:pStyle w:val="8"/>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十一、经营支出：指事业单位在专业业务活动及其辅助活动之外开展非独立核算经营活动发生的支出。 </w:t>
      </w:r>
    </w:p>
    <w:p>
      <w:pPr>
        <w:pStyle w:val="8"/>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十二、</w:t>
      </w:r>
      <w:r>
        <w:rPr>
          <w:rFonts w:ascii="仿宋" w:hAnsi="仿宋" w:eastAsia="仿宋" w:cs="仿宋"/>
          <w:color w:val="auto"/>
          <w:sz w:val="32"/>
          <w:szCs w:val="32"/>
        </w:rPr>
        <w:t>“</w:t>
      </w:r>
      <w:r>
        <w:rPr>
          <w:rFonts w:hint="eastAsia" w:ascii="仿宋" w:hAnsi="仿宋" w:eastAsia="仿宋" w:cs="仿宋"/>
          <w:color w:val="auto"/>
          <w:sz w:val="32"/>
          <w:szCs w:val="32"/>
        </w:rPr>
        <w:t>三公</w:t>
      </w:r>
      <w:r>
        <w:rPr>
          <w:rFonts w:ascii="仿宋" w:hAnsi="仿宋" w:eastAsia="仿宋" w:cs="仿宋"/>
          <w:color w:val="auto"/>
          <w:sz w:val="32"/>
          <w:szCs w:val="32"/>
        </w:rPr>
        <w:t>”</w:t>
      </w:r>
      <w:r>
        <w:rPr>
          <w:rFonts w:hint="eastAsia" w:ascii="仿宋" w:hAnsi="仿宋" w:eastAsia="仿宋" w:cs="仿宋"/>
          <w:color w:val="auto"/>
          <w:sz w:val="32"/>
          <w:szCs w:val="32"/>
        </w:rPr>
        <w:t>经费：纳入省级财政预决算管理的</w:t>
      </w:r>
      <w:r>
        <w:rPr>
          <w:rFonts w:ascii="仿宋" w:hAnsi="仿宋" w:eastAsia="仿宋" w:cs="仿宋"/>
          <w:color w:val="auto"/>
          <w:sz w:val="32"/>
          <w:szCs w:val="32"/>
        </w:rPr>
        <w:t>“</w:t>
      </w:r>
      <w:r>
        <w:rPr>
          <w:rFonts w:hint="eastAsia" w:ascii="仿宋" w:hAnsi="仿宋" w:eastAsia="仿宋" w:cs="仿宋"/>
          <w:color w:val="auto"/>
          <w:sz w:val="32"/>
          <w:szCs w:val="32"/>
        </w:rPr>
        <w:t>三公</w:t>
      </w:r>
      <w:r>
        <w:rPr>
          <w:rFonts w:ascii="仿宋" w:hAnsi="仿宋" w:eastAsia="仿宋" w:cs="仿宋"/>
          <w:color w:val="auto"/>
          <w:sz w:val="32"/>
          <w:szCs w:val="32"/>
        </w:rPr>
        <w:t>”</w:t>
      </w:r>
      <w:r>
        <w:rPr>
          <w:rFonts w:hint="eastAsia" w:ascii="仿宋" w:hAnsi="仿宋" w:eastAsia="仿宋" w:cs="仿宋"/>
          <w:color w:val="auto"/>
          <w:sz w:val="32"/>
          <w:szCs w:val="32"/>
        </w:rPr>
        <w:t xml:space="preserve">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jc w:val="left"/>
        <w:rPr>
          <w:rFonts w:ascii="仿宋" w:hAnsi="仿宋" w:eastAsia="仿宋"/>
          <w:sz w:val="32"/>
          <w:szCs w:val="32"/>
        </w:rPr>
      </w:pPr>
      <w:r>
        <w:rPr>
          <w:rFonts w:hint="eastAsia" w:ascii="仿宋" w:hAnsi="仿宋" w:eastAsia="仿宋" w:cs="仿宋"/>
          <w:kern w:val="0"/>
          <w:sz w:val="32"/>
          <w:szCs w:val="32"/>
        </w:rPr>
        <w:t>十三、机关运行经费：为保障行政单位（含参照公务员法管理的事业单位）运行用于购买货物和服务的各项资金，包括办公及印刷费、邮电费、差旅费、会议</w:t>
      </w:r>
      <w:r>
        <w:rPr>
          <w:rFonts w:hint="eastAsia" w:ascii="仿宋" w:hAnsi="仿宋" w:eastAsia="仿宋"/>
          <w:sz w:val="32"/>
          <w:szCs w:val="32"/>
        </w:rPr>
        <w:t>费、福利费、日常维修费、专用材料及一般设备购置费、办公用房水电费、办公用房取暖费、办公用房物业管理费、公务用车运行维护费以及其他费用。</w:t>
      </w:r>
    </w:p>
    <w:sectPr>
      <w:footerReference r:id="rId5" w:type="default"/>
      <w:pgSz w:w="11906" w:h="16838"/>
      <w:pgMar w:top="1440" w:right="1800" w:bottom="1383"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黑体.....">
    <w:altName w:val="黑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0000000000000000000"/>
    <w:charset w:val="86"/>
    <w:family w:val="auto"/>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18"/>
        <w:lang w:val="en-US" w:eastAsia="zh-CN" w:bidi="ar-SA"/>
      </w:rPr>
      <w:pict>
        <v:shape id="_x0000_s4097"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F56BA8"/>
    <w:multiLevelType w:val="multilevel"/>
    <w:tmpl w:val="6BF56BA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mIwNTQxNjIwYmUzMzE2M2Q5NmI1ODBiYTI3Y2E0NGEifQ=="/>
  </w:docVars>
  <w:rsids>
    <w:rsidRoot w:val="00000000"/>
    <w:rsid w:val="0A1F5E4A"/>
    <w:rsid w:val="68333F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nhideWhenUsed/>
    <w:qFormat/>
    <w:uiPriority w:val="99"/>
    <w:pPr>
      <w:spacing w:line="240" w:lineRule="auto"/>
    </w:pPr>
    <w:rPr>
      <w:sz w:val="18"/>
      <w:szCs w:val="18"/>
    </w:rPr>
  </w:style>
  <w:style w:type="paragraph" w:styleId="3">
    <w:name w:val="footer"/>
    <w:basedOn w:val="1"/>
    <w:link w:val="13"/>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unhideWhenUsed/>
    <w:qFormat/>
    <w:uiPriority w:val="99"/>
    <w:pPr>
      <w:spacing w:before="100" w:beforeAutospacing="1" w:after="100" w:afterAutospacing="1"/>
    </w:pPr>
    <w:rPr>
      <w:rFonts w:ascii="宋体" w:hAnsi="宋体" w:eastAsia="宋体" w:cs="宋体"/>
      <w:sz w:val="24"/>
      <w:szCs w:val="24"/>
    </w:rPr>
  </w:style>
  <w:style w:type="paragraph" w:customStyle="1" w:styleId="8">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9">
    <w:name w:val="列出段落1"/>
    <w:basedOn w:val="1"/>
    <w:qFormat/>
    <w:uiPriority w:val="34"/>
    <w:pPr>
      <w:ind w:firstLine="420" w:firstLineChars="200"/>
    </w:pPr>
  </w:style>
  <w:style w:type="paragraph" w:customStyle="1" w:styleId="10">
    <w:name w:val="无间隔1"/>
    <w:link w:val="14"/>
    <w:qFormat/>
    <w:uiPriority w:val="1"/>
    <w:rPr>
      <w:rFonts w:ascii="Calibri" w:hAnsi="Calibri" w:eastAsia="宋体" w:cs="黑体"/>
      <w:sz w:val="22"/>
      <w:szCs w:val="22"/>
      <w:lang w:val="en-US" w:eastAsia="zh-CN" w:bidi="ar-SA"/>
    </w:rPr>
  </w:style>
  <w:style w:type="character" w:customStyle="1" w:styleId="11">
    <w:name w:val="批注框文本 Char Char"/>
    <w:basedOn w:val="7"/>
    <w:link w:val="2"/>
    <w:qFormat/>
    <w:uiPriority w:val="99"/>
    <w:rPr>
      <w:sz w:val="18"/>
      <w:szCs w:val="18"/>
    </w:rPr>
  </w:style>
  <w:style w:type="character" w:customStyle="1" w:styleId="12">
    <w:name w:val="页眉 Char Char"/>
    <w:basedOn w:val="7"/>
    <w:link w:val="4"/>
    <w:qFormat/>
    <w:uiPriority w:val="99"/>
    <w:rPr>
      <w:sz w:val="18"/>
      <w:szCs w:val="18"/>
    </w:rPr>
  </w:style>
  <w:style w:type="character" w:customStyle="1" w:styleId="13">
    <w:name w:val="页脚 Char Char"/>
    <w:basedOn w:val="7"/>
    <w:link w:val="3"/>
    <w:uiPriority w:val="99"/>
    <w:rPr>
      <w:sz w:val="18"/>
      <w:szCs w:val="18"/>
    </w:rPr>
  </w:style>
  <w:style w:type="character" w:customStyle="1" w:styleId="14">
    <w:name w:val="无间隔 Char"/>
    <w:basedOn w:val="7"/>
    <w:link w:val="10"/>
    <w:qFormat/>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25</Pages>
  <Words>10478</Words>
  <Characters>12788</Characters>
  <Lines>106</Lines>
  <Paragraphs>29</Paragraphs>
  <TotalTime>0</TotalTime>
  <ScaleCrop>false</ScaleCrop>
  <LinksUpToDate>false</LinksUpToDate>
  <CharactersWithSpaces>13601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2021-06-29T08:14:00Z</dcterms:created>
  <dc:creator>刘菁</dc:creator>
  <cp:lastModifiedBy>繁华无星空</cp:lastModifiedBy>
  <cp:lastPrinted>2020-07-22T10:11:00Z</cp:lastPrinted>
  <dcterms:modified xsi:type="dcterms:W3CDTF">2024-06-03T02:39:13Z</dcterms:modified>
  <dc:title>2019年度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E6D9746E57B04078B6B66E7EA3473A9E</vt:lpwstr>
  </property>
</Properties>
</file>