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方正小标宋简体" w:eastAsia="方正小标宋简体"/>
          <w:sz w:val="48"/>
          <w:szCs w:val="48"/>
        </w:rPr>
      </w:pPr>
    </w:p>
    <w:p>
      <w:pPr>
        <w:widowControl/>
        <w:jc w:val="center"/>
        <w:rPr>
          <w:rFonts w:hint="eastAsia" w:ascii="方正小标宋简体" w:eastAsia="方正小标宋简体"/>
          <w:sz w:val="48"/>
          <w:szCs w:val="48"/>
        </w:rPr>
      </w:pPr>
    </w:p>
    <w:p>
      <w:pPr>
        <w:widowControl/>
        <w:jc w:val="center"/>
        <w:rPr>
          <w:rFonts w:hint="eastAsia" w:ascii="方正小标宋简体" w:eastAsia="方正小标宋简体"/>
          <w:sz w:val="48"/>
          <w:szCs w:val="48"/>
        </w:rPr>
      </w:pPr>
    </w:p>
    <w:p>
      <w:pPr>
        <w:widowControl/>
        <w:jc w:val="center"/>
        <w:rPr>
          <w:rFonts w:hint="eastAsia" w:ascii="方正小标宋简体" w:eastAsia="方正小标宋简体"/>
          <w:sz w:val="48"/>
          <w:szCs w:val="48"/>
        </w:rPr>
      </w:pPr>
      <w:r>
        <w:rPr>
          <w:rFonts w:hint="eastAsia" w:ascii="方正小标宋简体" w:eastAsia="方正小标宋简体"/>
          <w:sz w:val="48"/>
          <w:szCs w:val="48"/>
        </w:rPr>
        <w:t>2020年度连城县朋口镇人民政府</w:t>
      </w:r>
    </w:p>
    <w:p>
      <w:pPr>
        <w:widowControl/>
        <w:jc w:val="center"/>
        <w:rPr>
          <w:rFonts w:ascii="方正小标宋简体" w:eastAsia="方正小标宋简体"/>
          <w:sz w:val="48"/>
          <w:szCs w:val="48"/>
        </w:rPr>
      </w:pPr>
      <w:r>
        <w:rPr>
          <w:rFonts w:hint="eastAsia" w:ascii="方正小标宋简体" w:eastAsia="方正小标宋简体"/>
          <w:sz w:val="48"/>
          <w:szCs w:val="48"/>
        </w:rPr>
        <w:t>部门决算</w:t>
      </w:r>
    </w:p>
    <w:p>
      <w:pPr>
        <w:widowControl/>
        <w:rPr>
          <w:sz w:val="84"/>
          <w:szCs w:val="84"/>
        </w:rPr>
      </w:pPr>
      <w:r>
        <w:rPr>
          <w:sz w:val="84"/>
          <w:szCs w:val="84"/>
        </w:rPr>
        <w:br w:type="page"/>
      </w:r>
    </w:p>
    <w:p>
      <w:pPr>
        <w:jc w:val="center"/>
        <w:rPr>
          <w:rFonts w:ascii="仿宋" w:hAnsi="仿宋" w:eastAsia="仿宋"/>
          <w:b/>
          <w:sz w:val="32"/>
          <w:szCs w:val="32"/>
        </w:rPr>
      </w:pPr>
      <w:r>
        <w:rPr>
          <w:rFonts w:hint="eastAsia" w:ascii="仿宋" w:hAnsi="仿宋" w:eastAsia="仿宋"/>
          <w:b/>
          <w:sz w:val="32"/>
          <w:szCs w:val="32"/>
        </w:rPr>
        <w:t>目  录</w:t>
      </w:r>
    </w:p>
    <w:p>
      <w:pPr>
        <w:jc w:val="left"/>
        <w:rPr>
          <w:rFonts w:ascii="仿宋" w:hAnsi="仿宋" w:eastAsia="仿宋"/>
          <w:sz w:val="32"/>
          <w:szCs w:val="32"/>
        </w:rPr>
      </w:pPr>
      <w:r>
        <w:rPr>
          <w:rFonts w:hint="eastAsia" w:ascii="仿宋" w:hAnsi="仿宋" w:eastAsia="仿宋"/>
          <w:b/>
          <w:sz w:val="32"/>
          <w:szCs w:val="32"/>
        </w:rPr>
        <w:t>第一部分 部门概况</w:t>
      </w:r>
      <w:r>
        <w:rPr>
          <w:rFonts w:asciiTheme="majorEastAsia" w:hAnsiTheme="majorEastAsia" w:eastAsiaTheme="majorEastAsia"/>
          <w:bCs/>
          <w:sz w:val="36"/>
        </w:rPr>
        <w:t>………………………………………</w:t>
      </w:r>
      <w:r>
        <w:rPr>
          <w:rFonts w:hint="eastAsia" w:asciiTheme="majorEastAsia" w:hAnsiTheme="majorEastAsia" w:eastAsiaTheme="majorEastAsia"/>
          <w:bCs/>
          <w:sz w:val="36"/>
        </w:rPr>
        <w:t>4</w:t>
      </w:r>
    </w:p>
    <w:p>
      <w:pPr>
        <w:jc w:val="left"/>
        <w:rPr>
          <w:rFonts w:ascii="仿宋" w:hAnsi="仿宋" w:eastAsia="仿宋"/>
          <w:sz w:val="32"/>
          <w:szCs w:val="32"/>
        </w:rPr>
      </w:pPr>
      <w:r>
        <w:rPr>
          <w:rFonts w:hint="eastAsia" w:ascii="仿宋" w:hAnsi="仿宋" w:eastAsia="仿宋"/>
          <w:sz w:val="32"/>
          <w:szCs w:val="32"/>
        </w:rPr>
        <w:t xml:space="preserve">一、部门主要职责 </w:t>
      </w:r>
      <w:r>
        <w:rPr>
          <w:rFonts w:asciiTheme="majorEastAsia" w:hAnsiTheme="majorEastAsia" w:eastAsiaTheme="majorEastAsia"/>
          <w:sz w:val="36"/>
        </w:rPr>
        <w:t>…………………………………</w:t>
      </w:r>
      <w:r>
        <w:rPr>
          <w:rFonts w:asciiTheme="majorEastAsia" w:hAnsiTheme="majorEastAsia" w:eastAsiaTheme="majorEastAsia"/>
          <w:bCs/>
          <w:sz w:val="36"/>
        </w:rPr>
        <w:t>…</w:t>
      </w:r>
      <w:r>
        <w:rPr>
          <w:rFonts w:asciiTheme="majorEastAsia" w:hAnsiTheme="majorEastAsia" w:eastAsiaTheme="majorEastAsia"/>
          <w:sz w:val="36"/>
        </w:rPr>
        <w:t>…</w:t>
      </w:r>
      <w:r>
        <w:rPr>
          <w:rFonts w:hint="eastAsia" w:asciiTheme="majorEastAsia" w:hAnsiTheme="majorEastAsia" w:eastAsiaTheme="majorEastAsia"/>
          <w:sz w:val="36"/>
        </w:rPr>
        <w:t>4</w:t>
      </w:r>
    </w:p>
    <w:p>
      <w:pPr>
        <w:jc w:val="left"/>
        <w:rPr>
          <w:rFonts w:ascii="仿宋" w:hAnsi="仿宋" w:eastAsia="仿宋"/>
          <w:sz w:val="32"/>
          <w:szCs w:val="32"/>
        </w:rPr>
      </w:pPr>
      <w:r>
        <w:rPr>
          <w:rFonts w:hint="eastAsia" w:ascii="仿宋" w:hAnsi="仿宋" w:eastAsia="仿宋"/>
          <w:sz w:val="32"/>
          <w:szCs w:val="32"/>
        </w:rPr>
        <w:t>二、部门决算单位基本情况</w:t>
      </w:r>
      <w:r>
        <w:rPr>
          <w:rFonts w:asciiTheme="majorEastAsia" w:hAnsiTheme="majorEastAsia" w:eastAsiaTheme="majorEastAsia"/>
          <w:bCs/>
          <w:sz w:val="36"/>
        </w:rPr>
        <w:t>………………………………</w:t>
      </w:r>
      <w:r>
        <w:rPr>
          <w:rFonts w:hint="eastAsia" w:asciiTheme="majorEastAsia" w:hAnsiTheme="majorEastAsia" w:eastAsiaTheme="majorEastAsia"/>
          <w:bCs/>
          <w:sz w:val="36"/>
        </w:rPr>
        <w:t>4</w:t>
      </w:r>
    </w:p>
    <w:p>
      <w:pPr>
        <w:jc w:val="left"/>
        <w:rPr>
          <w:rFonts w:ascii="仿宋" w:hAnsi="仿宋" w:eastAsia="仿宋"/>
          <w:bCs/>
          <w:sz w:val="32"/>
          <w:szCs w:val="32"/>
        </w:rPr>
      </w:pPr>
      <w:r>
        <w:rPr>
          <w:rFonts w:hint="eastAsia" w:ascii="仿宋" w:hAnsi="仿宋" w:eastAsia="仿宋"/>
          <w:sz w:val="32"/>
          <w:szCs w:val="32"/>
        </w:rPr>
        <w:t>三、部门主要工作总结</w:t>
      </w:r>
      <w:r>
        <w:rPr>
          <w:rFonts w:asciiTheme="majorEastAsia" w:hAnsiTheme="majorEastAsia" w:eastAsiaTheme="majorEastAsia"/>
          <w:bCs/>
          <w:sz w:val="36"/>
        </w:rPr>
        <w:t>……………………………………</w:t>
      </w:r>
      <w:r>
        <w:rPr>
          <w:rFonts w:hint="eastAsia" w:asciiTheme="majorEastAsia" w:hAnsiTheme="majorEastAsia" w:eastAsiaTheme="majorEastAsia"/>
          <w:bCs/>
          <w:sz w:val="36"/>
        </w:rPr>
        <w:t>5</w:t>
      </w:r>
    </w:p>
    <w:p>
      <w:pPr>
        <w:jc w:val="left"/>
        <w:rPr>
          <w:rFonts w:asciiTheme="majorEastAsia" w:hAnsiTheme="majorEastAsia" w:eastAsiaTheme="majorEastAsia"/>
          <w:sz w:val="36"/>
        </w:rPr>
      </w:pPr>
      <w:r>
        <w:rPr>
          <w:rFonts w:hint="eastAsia" w:ascii="仿宋" w:hAnsi="仿宋" w:eastAsia="仿宋"/>
          <w:b/>
          <w:sz w:val="32"/>
          <w:szCs w:val="32"/>
        </w:rPr>
        <w:t xml:space="preserve">第二部分 </w:t>
      </w:r>
      <w:r>
        <w:rPr>
          <w:rFonts w:hint="eastAsia" w:ascii="仿宋" w:hAnsi="仿宋" w:eastAsia="仿宋" w:cs="仿宋_GB2312"/>
          <w:sz w:val="32"/>
          <w:szCs w:val="32"/>
        </w:rPr>
        <w:t>2020</w:t>
      </w:r>
      <w:r>
        <w:rPr>
          <w:rFonts w:hint="eastAsia" w:ascii="仿宋" w:hAnsi="仿宋" w:eastAsia="仿宋"/>
          <w:b/>
          <w:sz w:val="32"/>
          <w:szCs w:val="32"/>
        </w:rPr>
        <w:t>年度部门决算表</w:t>
      </w:r>
      <w:r>
        <w:rPr>
          <w:rFonts w:asciiTheme="majorEastAsia" w:hAnsiTheme="majorEastAsia" w:eastAsiaTheme="majorEastAsia"/>
          <w:sz w:val="36"/>
        </w:rPr>
        <w:t>…………………………</w:t>
      </w:r>
      <w:r>
        <w:rPr>
          <w:rFonts w:hint="eastAsia" w:asciiTheme="majorEastAsia" w:hAnsiTheme="majorEastAsia" w:eastAsiaTheme="majorEastAsia"/>
          <w:sz w:val="36"/>
        </w:rPr>
        <w:t>6</w:t>
      </w:r>
    </w:p>
    <w:p>
      <w:pPr>
        <w:jc w:val="left"/>
        <w:rPr>
          <w:rFonts w:asciiTheme="majorEastAsia" w:hAnsiTheme="majorEastAsia" w:eastAsiaTheme="majorEastAsia"/>
          <w:sz w:val="36"/>
        </w:rPr>
      </w:pPr>
      <w:r>
        <w:rPr>
          <w:rFonts w:hint="eastAsia" w:ascii="仿宋" w:hAnsi="仿宋" w:eastAsia="仿宋"/>
          <w:sz w:val="32"/>
          <w:szCs w:val="32"/>
        </w:rPr>
        <w:t xml:space="preserve">一、收入支出决算总表 </w:t>
      </w:r>
      <w:r>
        <w:rPr>
          <w:rFonts w:asciiTheme="majorEastAsia" w:hAnsiTheme="majorEastAsia" w:eastAsiaTheme="majorEastAsia"/>
          <w:sz w:val="36"/>
        </w:rPr>
        <w:t>…………………………………</w:t>
      </w:r>
      <w:r>
        <w:rPr>
          <w:rFonts w:hint="eastAsia" w:asciiTheme="majorEastAsia" w:hAnsiTheme="majorEastAsia" w:eastAsiaTheme="majorEastAsia"/>
          <w:sz w:val="36"/>
        </w:rPr>
        <w:t>6</w:t>
      </w:r>
    </w:p>
    <w:p>
      <w:pPr>
        <w:jc w:val="left"/>
        <w:rPr>
          <w:rFonts w:asciiTheme="majorEastAsia" w:hAnsiTheme="majorEastAsia" w:eastAsiaTheme="majorEastAsia"/>
          <w:sz w:val="36"/>
        </w:rPr>
      </w:pPr>
      <w:r>
        <w:rPr>
          <w:rFonts w:hint="eastAsia" w:ascii="仿宋" w:hAnsi="仿宋" w:eastAsia="仿宋"/>
          <w:sz w:val="32"/>
          <w:szCs w:val="32"/>
        </w:rPr>
        <w:t xml:space="preserve">二、收入决算表 </w:t>
      </w:r>
      <w:r>
        <w:rPr>
          <w:rFonts w:asciiTheme="majorEastAsia" w:hAnsiTheme="majorEastAsia" w:eastAsiaTheme="majorEastAsia"/>
          <w:sz w:val="36"/>
        </w:rPr>
        <w:t>…………………………………………</w:t>
      </w:r>
      <w:r>
        <w:rPr>
          <w:rFonts w:hint="eastAsia" w:asciiTheme="majorEastAsia" w:hAnsiTheme="majorEastAsia" w:eastAsiaTheme="majorEastAsia"/>
          <w:sz w:val="36"/>
        </w:rPr>
        <w:t>7</w:t>
      </w:r>
    </w:p>
    <w:p>
      <w:pPr>
        <w:jc w:val="left"/>
        <w:rPr>
          <w:rFonts w:ascii="仿宋" w:hAnsi="仿宋" w:eastAsia="仿宋"/>
          <w:sz w:val="32"/>
          <w:szCs w:val="32"/>
        </w:rPr>
      </w:pPr>
      <w:r>
        <w:rPr>
          <w:rFonts w:hint="eastAsia" w:ascii="仿宋" w:hAnsi="仿宋" w:eastAsia="仿宋"/>
          <w:sz w:val="32"/>
          <w:szCs w:val="32"/>
        </w:rPr>
        <w:t xml:space="preserve">三、支出决算表 </w:t>
      </w:r>
      <w:r>
        <w:rPr>
          <w:rFonts w:asciiTheme="majorEastAsia" w:hAnsiTheme="majorEastAsia" w:eastAsiaTheme="majorEastAsia"/>
          <w:sz w:val="36"/>
        </w:rPr>
        <w:t>…………………………………………</w:t>
      </w:r>
      <w:r>
        <w:rPr>
          <w:rFonts w:hint="eastAsia" w:asciiTheme="majorEastAsia" w:hAnsiTheme="majorEastAsia" w:eastAsiaTheme="majorEastAsia"/>
          <w:sz w:val="36"/>
        </w:rPr>
        <w:t>8</w:t>
      </w:r>
    </w:p>
    <w:p>
      <w:pPr>
        <w:jc w:val="left"/>
        <w:rPr>
          <w:rFonts w:hint="eastAsia" w:asciiTheme="majorEastAsia" w:hAnsiTheme="majorEastAsia" w:eastAsiaTheme="majorEastAsia"/>
          <w:sz w:val="36"/>
          <w:lang w:eastAsia="zh-CN"/>
        </w:rPr>
      </w:pPr>
      <w:r>
        <w:rPr>
          <w:rFonts w:hint="eastAsia" w:ascii="仿宋" w:hAnsi="仿宋" w:eastAsia="仿宋"/>
          <w:sz w:val="32"/>
          <w:szCs w:val="32"/>
        </w:rPr>
        <w:t>四、财政拨款收入支出决算总表</w:t>
      </w:r>
      <w:r>
        <w:rPr>
          <w:rFonts w:asciiTheme="majorEastAsia" w:hAnsiTheme="majorEastAsia" w:eastAsiaTheme="majorEastAsia"/>
          <w:sz w:val="36"/>
        </w:rPr>
        <w:t>………………</w:t>
      </w:r>
      <w:r>
        <w:rPr>
          <w:rFonts w:asciiTheme="majorEastAsia" w:hAnsiTheme="majorEastAsia" w:eastAsiaTheme="majorEastAsia"/>
          <w:bCs/>
          <w:sz w:val="36"/>
        </w:rPr>
        <w:t>…</w:t>
      </w:r>
      <w:r>
        <w:rPr>
          <w:rFonts w:asciiTheme="majorEastAsia" w:hAnsiTheme="majorEastAsia" w:eastAsiaTheme="majorEastAsia"/>
          <w:sz w:val="36"/>
        </w:rPr>
        <w:t>………</w:t>
      </w:r>
      <w:r>
        <w:rPr>
          <w:rFonts w:hint="eastAsia" w:asciiTheme="majorEastAsia" w:hAnsiTheme="majorEastAsia" w:eastAsiaTheme="majorEastAsia"/>
          <w:sz w:val="36"/>
          <w:lang w:val="en-US" w:eastAsia="zh-CN"/>
        </w:rPr>
        <w:t>9</w:t>
      </w:r>
    </w:p>
    <w:p>
      <w:pPr>
        <w:jc w:val="left"/>
        <w:rPr>
          <w:rFonts w:hint="default" w:asciiTheme="majorEastAsia" w:hAnsiTheme="majorEastAsia" w:eastAsiaTheme="majorEastAsia"/>
          <w:sz w:val="36"/>
          <w:lang w:val="en-US" w:eastAsia="zh-CN"/>
        </w:rPr>
      </w:pPr>
      <w:r>
        <w:rPr>
          <w:rFonts w:hint="eastAsia" w:ascii="仿宋" w:hAnsi="仿宋" w:eastAsia="仿宋"/>
          <w:sz w:val="32"/>
          <w:szCs w:val="32"/>
        </w:rPr>
        <w:t xml:space="preserve">五、一般公共预算财政拨款支出决算表 </w:t>
      </w:r>
      <w:r>
        <w:rPr>
          <w:rFonts w:asciiTheme="majorEastAsia" w:hAnsiTheme="majorEastAsia" w:eastAsiaTheme="majorEastAsia"/>
          <w:sz w:val="36"/>
        </w:rPr>
        <w:t>………</w:t>
      </w:r>
      <w:r>
        <w:rPr>
          <w:rFonts w:asciiTheme="majorEastAsia" w:hAnsiTheme="majorEastAsia" w:eastAsiaTheme="majorEastAsia"/>
          <w:bCs/>
          <w:sz w:val="36"/>
        </w:rPr>
        <w:t>…</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10</w:t>
      </w:r>
    </w:p>
    <w:p>
      <w:pPr>
        <w:jc w:val="left"/>
        <w:rPr>
          <w:rFonts w:hint="default" w:asciiTheme="majorEastAsia" w:hAnsiTheme="majorEastAsia" w:eastAsiaTheme="majorEastAsia"/>
          <w:sz w:val="36"/>
          <w:lang w:val="en-US" w:eastAsia="zh-CN"/>
        </w:rPr>
      </w:pPr>
      <w:r>
        <w:rPr>
          <w:rFonts w:hint="eastAsia" w:ascii="仿宋" w:hAnsi="仿宋" w:eastAsia="仿宋"/>
          <w:sz w:val="32"/>
          <w:szCs w:val="32"/>
        </w:rPr>
        <w:t>六、</w:t>
      </w:r>
      <w:r>
        <w:rPr>
          <w:rFonts w:hint="eastAsia" w:ascii="仿宋" w:hAnsi="仿宋" w:eastAsia="仿宋"/>
          <w:spacing w:val="-14"/>
          <w:sz w:val="32"/>
          <w:szCs w:val="32"/>
        </w:rPr>
        <w:t>一般公共预算财政拨款基本支出决算表</w:t>
      </w:r>
      <w:r>
        <w:rPr>
          <w:rFonts w:asciiTheme="majorEastAsia" w:hAnsiTheme="majorEastAsia" w:eastAsiaTheme="majorEastAsia"/>
          <w:sz w:val="36"/>
        </w:rPr>
        <w:t>………</w:t>
      </w:r>
      <w:r>
        <w:rPr>
          <w:rFonts w:asciiTheme="majorEastAsia" w:hAnsiTheme="majorEastAsia" w:eastAsiaTheme="majorEastAsia"/>
          <w:bCs/>
          <w:sz w:val="36"/>
        </w:rPr>
        <w:t>…</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11</w:t>
      </w:r>
    </w:p>
    <w:p>
      <w:pPr>
        <w:jc w:val="left"/>
        <w:rPr>
          <w:rFonts w:hint="default" w:asciiTheme="majorEastAsia" w:hAnsiTheme="majorEastAsia" w:eastAsiaTheme="majorEastAsia"/>
          <w:sz w:val="36"/>
          <w:lang w:val="en-US" w:eastAsia="zh-CN"/>
        </w:rPr>
      </w:pPr>
      <w:r>
        <w:rPr>
          <w:rFonts w:hint="eastAsia" w:ascii="仿宋" w:hAnsi="仿宋" w:eastAsia="仿宋"/>
          <w:sz w:val="32"/>
          <w:szCs w:val="32"/>
        </w:rPr>
        <w:t>七、一般公共预算财政拨款“三公经费”支出决算表</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12</w:t>
      </w:r>
    </w:p>
    <w:p>
      <w:pPr>
        <w:jc w:val="left"/>
        <w:rPr>
          <w:rFonts w:hint="default" w:ascii="仿宋" w:hAnsi="仿宋" w:eastAsiaTheme="majorEastAsia"/>
          <w:sz w:val="32"/>
          <w:szCs w:val="32"/>
          <w:lang w:val="en-US" w:eastAsia="zh-CN"/>
        </w:rPr>
      </w:pPr>
      <w:r>
        <w:rPr>
          <w:rFonts w:hint="eastAsia" w:ascii="仿宋" w:hAnsi="仿宋" w:eastAsia="仿宋"/>
          <w:sz w:val="32"/>
          <w:szCs w:val="32"/>
        </w:rPr>
        <w:t>八、政府性基金预算财政拨款收入支出决算表</w:t>
      </w:r>
      <w:r>
        <w:rPr>
          <w:rFonts w:asciiTheme="majorEastAsia" w:hAnsiTheme="majorEastAsia" w:eastAsiaTheme="majorEastAsia"/>
          <w:sz w:val="36"/>
        </w:rPr>
        <w:t>………</w:t>
      </w:r>
      <w:r>
        <w:rPr>
          <w:rFonts w:asciiTheme="majorEastAsia" w:hAnsiTheme="majorEastAsia" w:eastAsiaTheme="majorEastAsia"/>
          <w:bCs/>
          <w:sz w:val="36"/>
        </w:rPr>
        <w:t>…</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12</w:t>
      </w:r>
    </w:p>
    <w:p>
      <w:pPr>
        <w:jc w:val="left"/>
        <w:rPr>
          <w:rFonts w:hint="eastAsia" w:asciiTheme="majorEastAsia" w:hAnsiTheme="majorEastAsia" w:eastAsiaTheme="majorEastAsia"/>
          <w:sz w:val="36"/>
          <w:lang w:val="en-US" w:eastAsia="zh-CN"/>
        </w:rPr>
      </w:pPr>
      <w:r>
        <w:rPr>
          <w:rFonts w:hint="eastAsia" w:ascii="仿宋" w:hAnsi="仿宋" w:eastAsia="仿宋"/>
          <w:sz w:val="32"/>
          <w:szCs w:val="32"/>
        </w:rPr>
        <w:t>九、</w:t>
      </w:r>
      <w:r>
        <w:rPr>
          <w:rFonts w:hint="eastAsia" w:ascii="仿宋" w:hAnsi="仿宋" w:eastAsia="仿宋"/>
          <w:spacing w:val="-14"/>
          <w:sz w:val="32"/>
          <w:szCs w:val="32"/>
        </w:rPr>
        <w:t>国有资本经营预算财政拨款支出决算表</w:t>
      </w:r>
      <w:r>
        <w:rPr>
          <w:rFonts w:asciiTheme="majorEastAsia" w:hAnsiTheme="majorEastAsia" w:eastAsiaTheme="majorEastAsia"/>
          <w:sz w:val="36"/>
        </w:rPr>
        <w:t>……</w:t>
      </w:r>
      <w:r>
        <w:rPr>
          <w:rFonts w:asciiTheme="majorEastAsia" w:hAnsiTheme="majorEastAsia" w:eastAsiaTheme="majorEastAsia"/>
          <w:bCs/>
          <w:sz w:val="36"/>
        </w:rPr>
        <w:t>……</w:t>
      </w:r>
      <w:r>
        <w:rPr>
          <w:rFonts w:asciiTheme="majorEastAsia" w:hAnsiTheme="majorEastAsia" w:eastAsiaTheme="majorEastAsia"/>
          <w:sz w:val="36"/>
        </w:rPr>
        <w:t>………</w:t>
      </w:r>
      <w:r>
        <w:rPr>
          <w:rFonts w:hint="eastAsia" w:asciiTheme="majorEastAsia" w:hAnsiTheme="majorEastAsia" w:eastAsiaTheme="majorEastAsia"/>
          <w:sz w:val="36"/>
        </w:rPr>
        <w:t>1</w:t>
      </w:r>
      <w:r>
        <w:rPr>
          <w:rFonts w:hint="eastAsia" w:asciiTheme="majorEastAsia" w:hAnsiTheme="majorEastAsia" w:eastAsiaTheme="majorEastAsia"/>
          <w:sz w:val="36"/>
          <w:lang w:val="en-US" w:eastAsia="zh-CN"/>
        </w:rPr>
        <w:t>2</w:t>
      </w:r>
    </w:p>
    <w:p>
      <w:pPr>
        <w:jc w:val="left"/>
        <w:rPr>
          <w:rFonts w:hint="eastAsia" w:ascii="仿宋" w:hAnsi="仿宋" w:eastAsiaTheme="majorEastAsia"/>
          <w:sz w:val="32"/>
          <w:szCs w:val="32"/>
          <w:lang w:eastAsia="zh-CN"/>
        </w:rPr>
      </w:pPr>
      <w:r>
        <w:rPr>
          <w:rFonts w:hint="eastAsia" w:ascii="仿宋" w:hAnsi="仿宋" w:eastAsia="仿宋"/>
          <w:b/>
          <w:sz w:val="32"/>
          <w:szCs w:val="32"/>
        </w:rPr>
        <w:t xml:space="preserve">第三部分 </w:t>
      </w:r>
      <w:r>
        <w:rPr>
          <w:rFonts w:hint="eastAsia" w:ascii="仿宋" w:hAnsi="仿宋" w:eastAsia="仿宋" w:cs="仿宋_GB2312"/>
          <w:sz w:val="32"/>
          <w:szCs w:val="32"/>
        </w:rPr>
        <w:t>2020</w:t>
      </w:r>
      <w:r>
        <w:rPr>
          <w:rFonts w:hint="eastAsia" w:ascii="仿宋" w:hAnsi="仿宋" w:eastAsia="仿宋"/>
          <w:b/>
          <w:sz w:val="32"/>
          <w:szCs w:val="32"/>
        </w:rPr>
        <w:t>年度部门决算情况说明</w:t>
      </w:r>
      <w:r>
        <w:rPr>
          <w:rFonts w:asciiTheme="majorEastAsia" w:hAnsiTheme="majorEastAsia" w:eastAsiaTheme="majorEastAsia"/>
          <w:sz w:val="36"/>
        </w:rPr>
        <w:t>……</w:t>
      </w:r>
      <w:r>
        <w:rPr>
          <w:rFonts w:asciiTheme="majorEastAsia" w:hAnsiTheme="majorEastAsia" w:eastAsiaTheme="majorEastAsia"/>
          <w:bCs/>
          <w:sz w:val="36"/>
        </w:rPr>
        <w:t>…</w:t>
      </w:r>
      <w:r>
        <w:rPr>
          <w:rFonts w:asciiTheme="majorEastAsia" w:hAnsiTheme="majorEastAsia" w:eastAsiaTheme="majorEastAsia"/>
          <w:sz w:val="36"/>
        </w:rPr>
        <w:t>……………</w:t>
      </w:r>
      <w:r>
        <w:rPr>
          <w:rFonts w:hint="eastAsia" w:asciiTheme="majorEastAsia" w:hAnsiTheme="majorEastAsia" w:eastAsiaTheme="majorEastAsia"/>
          <w:sz w:val="36"/>
        </w:rPr>
        <w:t>1</w:t>
      </w:r>
      <w:r>
        <w:rPr>
          <w:rFonts w:hint="eastAsia" w:asciiTheme="majorEastAsia" w:hAnsiTheme="majorEastAsia" w:eastAsiaTheme="majorEastAsia"/>
          <w:sz w:val="36"/>
          <w:lang w:val="en-US" w:eastAsia="zh-CN"/>
        </w:rPr>
        <w:t>2</w:t>
      </w:r>
    </w:p>
    <w:p>
      <w:pPr>
        <w:jc w:val="left"/>
        <w:rPr>
          <w:rFonts w:hint="eastAsia" w:ascii="仿宋" w:hAnsi="仿宋" w:eastAsiaTheme="majorEastAsia"/>
          <w:sz w:val="32"/>
          <w:szCs w:val="32"/>
          <w:lang w:val="en-US" w:eastAsia="zh-CN"/>
        </w:rPr>
      </w:pPr>
      <w:r>
        <w:rPr>
          <w:rFonts w:hint="eastAsia" w:ascii="仿宋" w:hAnsi="仿宋" w:eastAsia="仿宋"/>
          <w:sz w:val="32"/>
          <w:szCs w:val="32"/>
        </w:rPr>
        <w:t>一、收入支出决算总体情况说明</w:t>
      </w:r>
      <w:r>
        <w:rPr>
          <w:rFonts w:asciiTheme="majorEastAsia" w:hAnsiTheme="majorEastAsia" w:eastAsiaTheme="majorEastAsia"/>
          <w:sz w:val="36"/>
        </w:rPr>
        <w:t>…………………………</w:t>
      </w:r>
      <w:r>
        <w:rPr>
          <w:rFonts w:hint="eastAsia" w:asciiTheme="majorEastAsia" w:hAnsiTheme="majorEastAsia" w:eastAsiaTheme="majorEastAsia"/>
          <w:sz w:val="36"/>
        </w:rPr>
        <w:t>1</w:t>
      </w:r>
      <w:r>
        <w:rPr>
          <w:rFonts w:hint="eastAsia" w:asciiTheme="majorEastAsia" w:hAnsiTheme="majorEastAsia" w:eastAsiaTheme="majorEastAsia"/>
          <w:sz w:val="36"/>
          <w:lang w:val="en-US" w:eastAsia="zh-CN"/>
        </w:rPr>
        <w:t>2</w:t>
      </w:r>
    </w:p>
    <w:p>
      <w:pPr>
        <w:jc w:val="left"/>
        <w:rPr>
          <w:rFonts w:hint="eastAsia" w:ascii="仿宋" w:hAnsi="仿宋" w:eastAsiaTheme="majorEastAsia"/>
          <w:sz w:val="32"/>
          <w:szCs w:val="32"/>
          <w:lang w:val="en-US" w:eastAsia="zh-CN"/>
        </w:rPr>
      </w:pPr>
      <w:r>
        <w:rPr>
          <w:rFonts w:hint="eastAsia" w:ascii="仿宋" w:hAnsi="仿宋" w:eastAsia="仿宋"/>
          <w:sz w:val="32"/>
          <w:szCs w:val="32"/>
        </w:rPr>
        <w:t>二、一般公共预算财政拨款支出决算情况说明</w:t>
      </w:r>
      <w:r>
        <w:rPr>
          <w:rFonts w:asciiTheme="majorEastAsia" w:hAnsiTheme="majorEastAsia" w:eastAsiaTheme="majorEastAsia"/>
          <w:sz w:val="36"/>
        </w:rPr>
        <w:t>……</w:t>
      </w:r>
      <w:r>
        <w:rPr>
          <w:rFonts w:asciiTheme="majorEastAsia" w:hAnsiTheme="majorEastAsia" w:eastAsiaTheme="majorEastAsia"/>
          <w:bCs/>
          <w:sz w:val="36"/>
        </w:rPr>
        <w:t>…</w:t>
      </w:r>
      <w:r>
        <w:rPr>
          <w:rFonts w:asciiTheme="majorEastAsia" w:hAnsiTheme="majorEastAsia" w:eastAsiaTheme="majorEastAsia"/>
          <w:sz w:val="36"/>
        </w:rPr>
        <w:t>……</w:t>
      </w:r>
      <w:r>
        <w:rPr>
          <w:rFonts w:hint="eastAsia" w:asciiTheme="majorEastAsia" w:hAnsiTheme="majorEastAsia" w:eastAsiaTheme="majorEastAsia"/>
          <w:sz w:val="36"/>
        </w:rPr>
        <w:t>1</w:t>
      </w:r>
      <w:r>
        <w:rPr>
          <w:rFonts w:hint="eastAsia" w:asciiTheme="majorEastAsia" w:hAnsiTheme="majorEastAsia" w:eastAsiaTheme="majorEastAsia"/>
          <w:sz w:val="36"/>
          <w:lang w:val="en-US" w:eastAsia="zh-CN"/>
        </w:rPr>
        <w:t>2</w:t>
      </w:r>
    </w:p>
    <w:p>
      <w:pPr>
        <w:jc w:val="left"/>
        <w:rPr>
          <w:rFonts w:hint="eastAsia" w:asciiTheme="majorEastAsia" w:hAnsiTheme="majorEastAsia" w:eastAsiaTheme="majorEastAsia"/>
          <w:sz w:val="36"/>
          <w:lang w:val="en-US" w:eastAsia="zh-CN"/>
        </w:rPr>
      </w:pPr>
      <w:r>
        <w:rPr>
          <w:rFonts w:hint="eastAsia" w:ascii="仿宋" w:hAnsi="仿宋" w:eastAsia="仿宋"/>
          <w:sz w:val="32"/>
          <w:szCs w:val="32"/>
        </w:rPr>
        <w:t>三、政府性基金支出决算情况说明</w:t>
      </w:r>
      <w:r>
        <w:rPr>
          <w:rFonts w:asciiTheme="majorEastAsia" w:hAnsiTheme="majorEastAsia" w:eastAsiaTheme="majorEastAsia"/>
          <w:sz w:val="36"/>
        </w:rPr>
        <w:t>………………………</w:t>
      </w:r>
      <w:r>
        <w:rPr>
          <w:rFonts w:hint="eastAsia" w:asciiTheme="majorEastAsia" w:hAnsiTheme="majorEastAsia" w:eastAsiaTheme="majorEastAsia"/>
          <w:sz w:val="36"/>
        </w:rPr>
        <w:t>1</w:t>
      </w:r>
      <w:r>
        <w:rPr>
          <w:rFonts w:hint="eastAsia" w:asciiTheme="majorEastAsia" w:hAnsiTheme="majorEastAsia" w:eastAsiaTheme="majorEastAsia"/>
          <w:sz w:val="36"/>
          <w:lang w:val="en-US" w:eastAsia="zh-CN"/>
        </w:rPr>
        <w:t>6</w:t>
      </w:r>
    </w:p>
    <w:p>
      <w:pPr>
        <w:jc w:val="left"/>
        <w:rPr>
          <w:rFonts w:hint="default" w:ascii="仿宋" w:hAnsi="仿宋" w:eastAsiaTheme="majorEastAsia"/>
          <w:sz w:val="32"/>
          <w:szCs w:val="32"/>
          <w:lang w:val="en-US" w:eastAsia="zh-CN"/>
        </w:rPr>
      </w:pPr>
      <w:r>
        <w:rPr>
          <w:rFonts w:hint="eastAsia" w:ascii="仿宋" w:hAnsi="仿宋" w:eastAsia="仿宋"/>
          <w:sz w:val="32"/>
          <w:szCs w:val="32"/>
        </w:rPr>
        <w:t>四、国有资本经营预算财政拨款支出决算情况说明</w:t>
      </w:r>
      <w:r>
        <w:rPr>
          <w:rFonts w:asciiTheme="majorEastAsia" w:hAnsiTheme="majorEastAsia" w:eastAsiaTheme="majorEastAsia"/>
          <w:sz w:val="36"/>
        </w:rPr>
        <w:t>…</w:t>
      </w:r>
      <w:r>
        <w:rPr>
          <w:rFonts w:asciiTheme="majorEastAsia" w:hAnsiTheme="majorEastAsia" w:eastAsiaTheme="majorEastAsia"/>
          <w:bCs/>
          <w:sz w:val="36"/>
        </w:rPr>
        <w:t>…</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16</w:t>
      </w:r>
    </w:p>
    <w:p>
      <w:pPr>
        <w:jc w:val="left"/>
        <w:rPr>
          <w:rFonts w:hint="default" w:ascii="仿宋" w:hAnsi="仿宋" w:eastAsiaTheme="majorEastAsia"/>
          <w:sz w:val="32"/>
          <w:szCs w:val="32"/>
          <w:lang w:val="en-US" w:eastAsia="zh-CN"/>
        </w:rPr>
      </w:pPr>
      <w:r>
        <w:rPr>
          <w:rFonts w:hint="eastAsia" w:ascii="仿宋" w:hAnsi="仿宋" w:eastAsia="仿宋"/>
          <w:sz w:val="32"/>
          <w:szCs w:val="32"/>
        </w:rPr>
        <w:t>五、一般公共预算财政拨款基本支出决算情况说明</w:t>
      </w:r>
      <w:r>
        <w:rPr>
          <w:rFonts w:asciiTheme="majorEastAsia" w:hAnsiTheme="majorEastAsia" w:eastAsiaTheme="majorEastAsia"/>
          <w:sz w:val="36"/>
        </w:rPr>
        <w:t>…</w:t>
      </w:r>
      <w:r>
        <w:rPr>
          <w:rFonts w:asciiTheme="majorEastAsia" w:hAnsiTheme="majorEastAsia" w:eastAsiaTheme="majorEastAsia"/>
          <w:bCs/>
          <w:sz w:val="36"/>
        </w:rPr>
        <w:t>…</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16</w:t>
      </w:r>
    </w:p>
    <w:p>
      <w:pPr>
        <w:jc w:val="left"/>
        <w:rPr>
          <w:rFonts w:hint="default" w:asciiTheme="majorEastAsia" w:hAnsiTheme="majorEastAsia" w:eastAsiaTheme="majorEastAsia"/>
          <w:sz w:val="36"/>
          <w:lang w:val="en-US" w:eastAsia="zh-CN"/>
        </w:rPr>
      </w:pPr>
      <w:r>
        <w:rPr>
          <w:rFonts w:hint="eastAsia" w:ascii="仿宋" w:hAnsi="仿宋" w:eastAsia="仿宋"/>
          <w:sz w:val="32"/>
          <w:szCs w:val="32"/>
        </w:rPr>
        <w:t>六、一般公共预算财政拨款“三公”经费支出决算情况说明</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17</w:t>
      </w:r>
    </w:p>
    <w:p>
      <w:pPr>
        <w:jc w:val="left"/>
        <w:rPr>
          <w:rFonts w:hint="default" w:ascii="仿宋" w:hAnsi="仿宋" w:eastAsiaTheme="majorEastAsia"/>
          <w:sz w:val="32"/>
          <w:szCs w:val="32"/>
          <w:lang w:val="en-US" w:eastAsia="zh-CN"/>
        </w:rPr>
      </w:pPr>
      <w:r>
        <w:rPr>
          <w:rFonts w:hint="eastAsia" w:ascii="仿宋" w:hAnsi="仿宋" w:eastAsia="仿宋"/>
          <w:sz w:val="32"/>
          <w:szCs w:val="32"/>
        </w:rPr>
        <w:t>七、预算绩效情况说明</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17</w:t>
      </w:r>
    </w:p>
    <w:p>
      <w:pPr>
        <w:jc w:val="left"/>
        <w:rPr>
          <w:rFonts w:hint="default" w:ascii="仿宋" w:hAnsi="仿宋" w:eastAsiaTheme="majorEastAsia"/>
          <w:sz w:val="32"/>
          <w:szCs w:val="32"/>
          <w:lang w:val="en-US" w:eastAsia="zh-CN"/>
        </w:rPr>
      </w:pPr>
      <w:r>
        <w:rPr>
          <w:rFonts w:hint="eastAsia" w:ascii="仿宋" w:hAnsi="仿宋" w:eastAsia="仿宋"/>
          <w:sz w:val="32"/>
          <w:szCs w:val="32"/>
        </w:rPr>
        <w:t>八、其他重要事项情况说明</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18</w:t>
      </w:r>
    </w:p>
    <w:p>
      <w:pPr>
        <w:jc w:val="left"/>
        <w:rPr>
          <w:rFonts w:hint="default" w:ascii="仿宋" w:hAnsi="仿宋" w:eastAsiaTheme="majorEastAsia"/>
          <w:sz w:val="32"/>
          <w:szCs w:val="32"/>
          <w:lang w:val="en-US" w:eastAsia="zh-CN"/>
        </w:rPr>
      </w:pPr>
      <w:r>
        <w:rPr>
          <w:rFonts w:hint="eastAsia" w:ascii="仿宋" w:hAnsi="仿宋" w:eastAsia="仿宋"/>
          <w:b/>
          <w:sz w:val="32"/>
          <w:szCs w:val="32"/>
        </w:rPr>
        <w:t>第四部分 名词解释</w:t>
      </w:r>
      <w:r>
        <w:rPr>
          <w:rFonts w:hint="eastAsia" w:ascii="仿宋" w:hAnsi="仿宋" w:eastAsia="仿宋"/>
          <w:sz w:val="32"/>
          <w:szCs w:val="32"/>
        </w:rPr>
        <w:t xml:space="preserve"> </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19</w:t>
      </w: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center"/>
        <w:rPr>
          <w:rFonts w:ascii="黑体" w:hAnsi="黑体" w:eastAsia="黑体"/>
          <w:sz w:val="36"/>
          <w:szCs w:val="36"/>
        </w:rPr>
      </w:pPr>
    </w:p>
    <w:p>
      <w:pPr>
        <w:jc w:val="both"/>
        <w:rPr>
          <w:rFonts w:ascii="黑体" w:hAnsi="黑体" w:eastAsia="黑体"/>
          <w:sz w:val="36"/>
          <w:szCs w:val="36"/>
        </w:rPr>
      </w:pPr>
    </w:p>
    <w:p>
      <w:pPr>
        <w:jc w:val="center"/>
        <w:rPr>
          <w:rFonts w:ascii="黑体" w:hAnsi="黑体" w:eastAsia="黑体"/>
          <w:sz w:val="36"/>
          <w:szCs w:val="36"/>
          <w:highlight w:val="none"/>
        </w:rPr>
      </w:pPr>
      <w:r>
        <w:rPr>
          <w:rFonts w:hint="eastAsia" w:ascii="黑体" w:hAnsi="黑体" w:eastAsia="黑体"/>
          <w:sz w:val="36"/>
          <w:szCs w:val="36"/>
          <w:highlight w:val="none"/>
        </w:rPr>
        <w:t>第一部分 部门概况</w:t>
      </w:r>
    </w:p>
    <w:p>
      <w:pPr>
        <w:jc w:val="center"/>
        <w:rPr>
          <w:rFonts w:ascii="黑体" w:hAnsi="黑体" w:eastAsia="黑体"/>
          <w:sz w:val="36"/>
          <w:szCs w:val="36"/>
          <w:highlight w:val="none"/>
        </w:rPr>
      </w:pPr>
    </w:p>
    <w:p>
      <w:pPr>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一、部门主要职责</w:t>
      </w:r>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连城县朋口镇人民政府部门的主要职责是：落实国家政策，严格依法行政，统筹推进“五位一体”总体布局，扎实做好“六稳”工作，全面落实“六保”任务，坚持稳中求进工作总基调，坚持新发展理念，坚持</w:t>
      </w:r>
      <w:r>
        <w:rPr>
          <w:rFonts w:hint="eastAsia" w:ascii="仿宋_GB2312" w:hAnsi="仿宋_GB2312" w:eastAsia="仿宋_GB2312" w:cs="仿宋_GB2312"/>
          <w:sz w:val="32"/>
          <w:szCs w:val="32"/>
          <w:highlight w:val="none"/>
          <w:lang w:eastAsia="zh-CN"/>
        </w:rPr>
        <w:t>全方位推动</w:t>
      </w:r>
      <w:r>
        <w:rPr>
          <w:rFonts w:hint="eastAsia" w:ascii="仿宋_GB2312" w:hAnsi="仿宋_GB2312" w:eastAsia="仿宋_GB2312" w:cs="仿宋_GB2312"/>
          <w:sz w:val="32"/>
          <w:szCs w:val="32"/>
          <w:highlight w:val="none"/>
        </w:rPr>
        <w:t>高质量发展</w:t>
      </w:r>
      <w:r>
        <w:rPr>
          <w:rFonts w:hint="eastAsia" w:ascii="仿宋_GB2312" w:hAnsi="仿宋_GB2312" w:eastAsia="仿宋_GB2312" w:cs="仿宋_GB2312"/>
          <w:sz w:val="32"/>
          <w:szCs w:val="32"/>
          <w:highlight w:val="none"/>
          <w:lang w:eastAsia="zh-CN"/>
        </w:rPr>
        <w:t>超越</w:t>
      </w:r>
      <w:r>
        <w:rPr>
          <w:rFonts w:hint="eastAsia" w:ascii="仿宋_GB2312" w:hAnsi="仿宋_GB2312" w:eastAsia="仿宋_GB2312" w:cs="仿宋_GB2312"/>
          <w:sz w:val="32"/>
          <w:szCs w:val="32"/>
          <w:highlight w:val="none"/>
        </w:rPr>
        <w:t>，加快建设“五更朋口”。</w:t>
      </w:r>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（一）执行本级人民代表大会的决议和上级国家行政机关的决定和命令，发布决定和命令。</w:t>
      </w:r>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（二）执行本行政区域内的经济和社会发展计划、预算，管理本行政区域内的经济、教育、科学、文化、卫生、体育事业和财政、民政、公安、司法行政、计划生育等行政工作。</w:t>
      </w:r>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（三）保护社会主义的全民所有的财产和劳动群众集体所有的财产，保护公民私人所有的合法财产，维护社会秩序，保障公民的人身权利、民主权利和其他权利。</w:t>
      </w:r>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（四）保护各种经济组织的合法权益。</w:t>
      </w:r>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（五）保障少数民族的权利和尊重少数民族的风俗习惯。</w:t>
      </w:r>
    </w:p>
    <w:p>
      <w:pPr>
        <w:tabs>
          <w:tab w:val="left" w:pos="7513"/>
        </w:tabs>
        <w:adjustRightInd w:val="0"/>
        <w:snapToGrid w:val="0"/>
        <w:spacing w:line="600" w:lineRule="exact"/>
        <w:ind w:firstLine="640" w:firstLineChars="200"/>
        <w:rPr>
          <w:rFonts w:ascii="仿宋" w:hAnsi="仿宋" w:eastAsia="仿宋"/>
          <w:sz w:val="32"/>
          <w:szCs w:val="32"/>
          <w:highlight w:val="none"/>
        </w:rPr>
      </w:pPr>
      <w:r>
        <w:rPr>
          <w:rFonts w:hint="eastAsia" w:ascii="仿宋_GB2312" w:hAnsi="仿宋_GB2312" w:eastAsia="仿宋_GB2312" w:cs="仿宋_GB2312"/>
          <w:sz w:val="32"/>
          <w:szCs w:val="32"/>
          <w:highlight w:val="none"/>
        </w:rPr>
        <w:t>（六）承办县委、县政府交办的其他事项。</w:t>
      </w:r>
    </w:p>
    <w:p>
      <w:pPr>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二、部门决算单位基本情况</w:t>
      </w:r>
    </w:p>
    <w:p>
      <w:pPr>
        <w:tabs>
          <w:tab w:val="left" w:pos="7513"/>
        </w:tabs>
        <w:adjustRightInd w:val="0"/>
        <w:snapToGrid w:val="0"/>
        <w:spacing w:line="600" w:lineRule="exact"/>
        <w:ind w:firstLine="640" w:firstLineChars="200"/>
        <w:rPr>
          <w:rFonts w:ascii="仿宋" w:hAnsi="仿宋" w:eastAsia="仿宋" w:cs="Times New Roman"/>
          <w:sz w:val="32"/>
          <w:szCs w:val="32"/>
          <w:highlight w:val="none"/>
        </w:rPr>
      </w:pPr>
      <w:r>
        <w:rPr>
          <w:rFonts w:hint="eastAsia" w:ascii="仿宋" w:hAnsi="仿宋" w:eastAsia="仿宋" w:cs="仿宋_GB2312"/>
          <w:sz w:val="32"/>
          <w:szCs w:val="32"/>
          <w:highlight w:val="none"/>
        </w:rPr>
        <w:t>从决算单位构成看，</w:t>
      </w:r>
      <w:r>
        <w:rPr>
          <w:rFonts w:hint="eastAsia" w:ascii="仿宋" w:hAnsi="仿宋" w:eastAsia="仿宋"/>
          <w:sz w:val="32"/>
          <w:szCs w:val="32"/>
          <w:highlight w:val="none"/>
        </w:rPr>
        <w:t>连城县朋口镇人民政府部门包括1个机关行政处（科）室及6个下属单位，其中：列入</w:t>
      </w:r>
      <w:r>
        <w:rPr>
          <w:rFonts w:hint="eastAsia" w:ascii="仿宋" w:hAnsi="仿宋" w:eastAsia="仿宋" w:cs="仿宋_GB2312"/>
          <w:sz w:val="32"/>
          <w:szCs w:val="32"/>
          <w:highlight w:val="none"/>
        </w:rPr>
        <w:t>2020</w:t>
      </w:r>
      <w:r>
        <w:rPr>
          <w:rFonts w:hint="eastAsia" w:ascii="仿宋" w:hAnsi="仿宋" w:eastAsia="仿宋"/>
          <w:sz w:val="32"/>
          <w:szCs w:val="32"/>
          <w:highlight w:val="none"/>
        </w:rPr>
        <w:t>年部门决算编制范围的单位详细情况见下表</w:t>
      </w:r>
      <w:r>
        <w:rPr>
          <w:rFonts w:ascii="仿宋" w:hAnsi="仿宋" w:eastAsia="仿宋"/>
          <w:sz w:val="32"/>
          <w:szCs w:val="32"/>
          <w:highlight w:val="none"/>
        </w:rP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213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highlight w:val="none"/>
              </w:rPr>
            </w:pPr>
            <w:r>
              <w:rPr>
                <w:rFonts w:hint="eastAsia" w:ascii="仿宋" w:hAnsi="仿宋" w:eastAsia="仿宋" w:cs="仿宋_GB2312"/>
                <w:sz w:val="32"/>
                <w:szCs w:val="32"/>
                <w:highlight w:val="none"/>
              </w:rPr>
              <w:t>单位名称</w:t>
            </w:r>
          </w:p>
        </w:tc>
        <w:tc>
          <w:tcPr>
            <w:tcW w:w="213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highlight w:val="none"/>
              </w:rPr>
            </w:pPr>
            <w:r>
              <w:rPr>
                <w:rFonts w:hint="eastAsia" w:ascii="仿宋" w:hAnsi="仿宋" w:eastAsia="仿宋" w:cs="仿宋_GB2312"/>
                <w:sz w:val="32"/>
                <w:szCs w:val="32"/>
                <w:highlight w:val="none"/>
              </w:rPr>
              <w:t>经费性质</w:t>
            </w:r>
          </w:p>
        </w:tc>
        <w:tc>
          <w:tcPr>
            <w:tcW w:w="213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highlight w:val="none"/>
              </w:rPr>
            </w:pPr>
            <w:r>
              <w:rPr>
                <w:rFonts w:hint="eastAsia" w:ascii="仿宋" w:hAnsi="仿宋" w:eastAsia="仿宋" w:cs="仿宋_GB2312"/>
                <w:sz w:val="32"/>
                <w:szCs w:val="32"/>
                <w:highlight w:val="none"/>
              </w:rPr>
              <w:t>人员编制数</w:t>
            </w:r>
          </w:p>
        </w:tc>
        <w:tc>
          <w:tcPr>
            <w:tcW w:w="213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highlight w:val="none"/>
              </w:rPr>
            </w:pPr>
            <w:r>
              <w:rPr>
                <w:rFonts w:hint="eastAsia" w:ascii="仿宋" w:hAnsi="仿宋" w:eastAsia="仿宋" w:cs="仿宋_GB2312"/>
                <w:sz w:val="32"/>
                <w:szCs w:val="32"/>
                <w:highlight w:val="none"/>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tcPr>
          <w:p>
            <w:pPr>
              <w:tabs>
                <w:tab w:val="left" w:pos="7513"/>
              </w:tabs>
              <w:adjustRightInd w:val="0"/>
              <w:snapToGrid w:val="0"/>
              <w:spacing w:line="600" w:lineRule="exact"/>
              <w:rPr>
                <w:rFonts w:ascii="仿宋" w:hAnsi="仿宋" w:eastAsia="仿宋"/>
                <w:sz w:val="32"/>
                <w:szCs w:val="32"/>
                <w:highlight w:val="none"/>
              </w:rPr>
            </w:pPr>
            <w:r>
              <w:rPr>
                <w:rFonts w:hint="eastAsia" w:ascii="仿宋" w:hAnsi="仿宋" w:eastAsia="仿宋"/>
                <w:sz w:val="32"/>
                <w:szCs w:val="32"/>
                <w:highlight w:val="none"/>
              </w:rPr>
              <w:t>连城县朋口镇人民政府</w:t>
            </w:r>
          </w:p>
        </w:tc>
        <w:tc>
          <w:tcPr>
            <w:tcW w:w="2130" w:type="dxa"/>
            <w:tcBorders>
              <w:top w:val="single" w:color="auto" w:sz="4" w:space="0"/>
              <w:left w:val="single" w:color="auto" w:sz="4" w:space="0"/>
              <w:bottom w:val="single" w:color="auto" w:sz="4" w:space="0"/>
              <w:right w:val="single" w:color="auto" w:sz="4" w:space="0"/>
            </w:tcBorders>
          </w:tcPr>
          <w:p>
            <w:pPr>
              <w:tabs>
                <w:tab w:val="left" w:pos="7513"/>
              </w:tabs>
              <w:adjustRightInd w:val="0"/>
              <w:snapToGrid w:val="0"/>
              <w:spacing w:line="600" w:lineRule="exact"/>
              <w:jc w:val="center"/>
              <w:rPr>
                <w:rFonts w:ascii="仿宋" w:hAnsi="仿宋" w:eastAsia="仿宋"/>
                <w:sz w:val="32"/>
                <w:szCs w:val="32"/>
                <w:highlight w:val="none"/>
              </w:rPr>
            </w:pPr>
            <w:r>
              <w:rPr>
                <w:rFonts w:hint="eastAsia" w:ascii="仿宋" w:hAnsi="仿宋" w:eastAsia="仿宋"/>
                <w:sz w:val="32"/>
                <w:szCs w:val="32"/>
                <w:highlight w:val="none"/>
              </w:rPr>
              <w:t>财政核拨</w:t>
            </w:r>
          </w:p>
        </w:tc>
        <w:tc>
          <w:tcPr>
            <w:tcW w:w="2131" w:type="dxa"/>
            <w:tcBorders>
              <w:top w:val="single" w:color="auto" w:sz="4" w:space="0"/>
              <w:left w:val="single" w:color="auto" w:sz="4" w:space="0"/>
              <w:bottom w:val="single" w:color="auto" w:sz="4" w:space="0"/>
              <w:right w:val="single" w:color="auto" w:sz="4" w:space="0"/>
            </w:tcBorders>
          </w:tcPr>
          <w:p>
            <w:pPr>
              <w:tabs>
                <w:tab w:val="left" w:pos="7513"/>
              </w:tabs>
              <w:adjustRightInd w:val="0"/>
              <w:snapToGrid w:val="0"/>
              <w:spacing w:line="600" w:lineRule="exact"/>
              <w:jc w:val="center"/>
              <w:rPr>
                <w:rFonts w:ascii="仿宋" w:hAnsi="仿宋" w:eastAsia="仿宋"/>
                <w:sz w:val="32"/>
                <w:szCs w:val="32"/>
                <w:highlight w:val="none"/>
              </w:rPr>
            </w:pPr>
            <w:r>
              <w:rPr>
                <w:rFonts w:hint="eastAsia" w:ascii="仿宋" w:hAnsi="仿宋" w:eastAsia="仿宋"/>
                <w:sz w:val="32"/>
                <w:szCs w:val="32"/>
                <w:highlight w:val="none"/>
              </w:rPr>
              <w:t>73</w:t>
            </w:r>
          </w:p>
        </w:tc>
        <w:tc>
          <w:tcPr>
            <w:tcW w:w="2131" w:type="dxa"/>
            <w:tcBorders>
              <w:top w:val="single" w:color="auto" w:sz="4" w:space="0"/>
              <w:left w:val="single" w:color="auto" w:sz="4" w:space="0"/>
              <w:bottom w:val="single" w:color="auto" w:sz="4" w:space="0"/>
              <w:right w:val="single" w:color="auto" w:sz="4" w:space="0"/>
            </w:tcBorders>
          </w:tcPr>
          <w:p>
            <w:pPr>
              <w:tabs>
                <w:tab w:val="left" w:pos="7513"/>
              </w:tabs>
              <w:adjustRightInd w:val="0"/>
              <w:snapToGrid w:val="0"/>
              <w:spacing w:line="600" w:lineRule="exact"/>
              <w:jc w:val="center"/>
              <w:rPr>
                <w:rFonts w:ascii="仿宋" w:hAnsi="仿宋" w:eastAsia="仿宋"/>
                <w:sz w:val="32"/>
                <w:szCs w:val="32"/>
                <w:highlight w:val="none"/>
              </w:rPr>
            </w:pPr>
            <w:r>
              <w:rPr>
                <w:rFonts w:hint="eastAsia" w:ascii="仿宋" w:hAnsi="仿宋" w:eastAsia="仿宋"/>
                <w:sz w:val="32"/>
                <w:szCs w:val="32"/>
                <w:highlight w:val="none"/>
              </w:rPr>
              <w:t>62</w:t>
            </w:r>
          </w:p>
        </w:tc>
      </w:tr>
    </w:tbl>
    <w:p>
      <w:pPr>
        <w:spacing w:line="60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三、部门主要工作总结</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2020年，连城县朋口镇人民政府部门主要任务是：以习近平新时代中国特色社会主义思想为指导，全面贯彻党的十九大和十九届二中、三中、四中</w:t>
      </w:r>
      <w:r>
        <w:rPr>
          <w:rFonts w:hint="eastAsia" w:ascii="仿宋_GB2312" w:hAnsi="仿宋_GB2312" w:eastAsia="仿宋_GB2312" w:cs="仿宋_GB2312"/>
          <w:sz w:val="32"/>
          <w:szCs w:val="32"/>
          <w:highlight w:val="none"/>
          <w:lang w:eastAsia="zh-CN"/>
        </w:rPr>
        <w:t>、五中</w:t>
      </w:r>
      <w:r>
        <w:rPr>
          <w:rFonts w:hint="eastAsia" w:ascii="仿宋_GB2312" w:hAnsi="仿宋_GB2312" w:eastAsia="仿宋_GB2312" w:cs="仿宋_GB2312"/>
          <w:sz w:val="32"/>
          <w:szCs w:val="32"/>
          <w:highlight w:val="none"/>
        </w:rPr>
        <w:t>全会精神，统筹推进“五位一体”总体布局，协调推进“四个全面”战略布局，坚持稳中求进工作总基调，坚持新发展理念，持续打好“三大战役”，突破“四大板块”，建设“五更朋口”，加快推动高质量发展</w:t>
      </w:r>
      <w:r>
        <w:rPr>
          <w:rFonts w:hint="eastAsia" w:ascii="仿宋_GB2312" w:hAnsi="仿宋_GB2312" w:eastAsia="仿宋_GB2312" w:cs="仿宋_GB2312"/>
          <w:sz w:val="32"/>
          <w:szCs w:val="32"/>
          <w:highlight w:val="none"/>
          <w:lang w:eastAsia="zh-CN"/>
        </w:rPr>
        <w:t>超越</w:t>
      </w:r>
      <w:r>
        <w:rPr>
          <w:rFonts w:hint="eastAsia" w:ascii="仿宋_GB2312" w:hAnsi="仿宋_GB2312" w:eastAsia="仿宋_GB2312" w:cs="仿宋_GB2312"/>
          <w:sz w:val="32"/>
          <w:szCs w:val="32"/>
          <w:highlight w:val="none"/>
        </w:rPr>
        <w:t>，在开启朋口发展新时代中奋力谱写新篇章。围绕上述任务，重点完成了以下工作：</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（一）抓增长、促发展，工业项目持续发力。</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（二）抓提升、促转型，发展活力日益增强。</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（三）压责任、促摘帽，脱贫攻坚决战决胜。</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（四）抓整治、促优化，生态环境明显改善。</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（五）抓三农、促发展，乡村振兴活力迸发。</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（六）抓短板、促改观，镇村面貌日新月异。</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（七）抓民生、促和谐，幸福指数显著提升。</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（八）抓治理、促稳定，平安建设成效显著。</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（九）抓作风、促实干，自身建设不断加强。</w:t>
      </w:r>
    </w:p>
    <w:p>
      <w:pPr>
        <w:spacing w:line="600" w:lineRule="exact"/>
        <w:jc w:val="center"/>
        <w:rPr>
          <w:rFonts w:ascii="黑体" w:hAnsi="黑体" w:eastAsia="黑体"/>
          <w:sz w:val="36"/>
          <w:szCs w:val="36"/>
        </w:rPr>
      </w:pPr>
      <w:r>
        <w:rPr>
          <w:rFonts w:hint="eastAsia" w:ascii="黑体" w:hAnsi="黑体" w:eastAsia="黑体"/>
          <w:sz w:val="36"/>
          <w:szCs w:val="36"/>
        </w:rPr>
        <w:t>第二部分 2020年度部门决算表</w:t>
      </w:r>
    </w:p>
    <w:p>
      <w:pPr>
        <w:pStyle w:val="8"/>
        <w:numPr>
          <w:ilvl w:val="0"/>
          <w:numId w:val="1"/>
        </w:numPr>
        <w:ind w:firstLineChars="0"/>
        <w:jc w:val="left"/>
        <w:rPr>
          <w:rFonts w:ascii="黑体" w:hAnsi="仿宋" w:eastAsia="黑体"/>
          <w:sz w:val="32"/>
          <w:szCs w:val="32"/>
        </w:rPr>
      </w:pPr>
      <w:r>
        <w:rPr>
          <w:rFonts w:hint="eastAsia" w:ascii="黑体" w:hAnsi="仿宋" w:eastAsia="黑体"/>
          <w:sz w:val="32"/>
          <w:szCs w:val="32"/>
        </w:rPr>
        <w:t xml:space="preserve">收入支出决算总表 </w:t>
      </w:r>
    </w:p>
    <w:tbl>
      <w:tblPr>
        <w:tblStyle w:val="5"/>
        <w:tblW w:w="9466" w:type="dxa"/>
        <w:tblInd w:w="91" w:type="dxa"/>
        <w:tblLayout w:type="fixed"/>
        <w:tblCellMar>
          <w:top w:w="0" w:type="dxa"/>
          <w:left w:w="108" w:type="dxa"/>
          <w:bottom w:w="0" w:type="dxa"/>
          <w:right w:w="108" w:type="dxa"/>
        </w:tblCellMar>
      </w:tblPr>
      <w:tblGrid>
        <w:gridCol w:w="3747"/>
        <w:gridCol w:w="1008"/>
        <w:gridCol w:w="3637"/>
        <w:gridCol w:w="1074"/>
      </w:tblGrid>
      <w:tr>
        <w:tblPrEx>
          <w:tblCellMar>
            <w:top w:w="0" w:type="dxa"/>
            <w:left w:w="108" w:type="dxa"/>
            <w:bottom w:w="0" w:type="dxa"/>
            <w:right w:w="108" w:type="dxa"/>
          </w:tblCellMar>
        </w:tblPrEx>
        <w:trPr>
          <w:trHeight w:val="540" w:hRule="atLeast"/>
        </w:trPr>
        <w:tc>
          <w:tcPr>
            <w:tcW w:w="9466" w:type="dxa"/>
            <w:gridSpan w:val="4"/>
            <w:tcBorders>
              <w:top w:val="nil"/>
              <w:left w:val="nil"/>
              <w:bottom w:val="nil"/>
              <w:right w:val="nil"/>
            </w:tcBorders>
            <w:shd w:val="clear" w:color="auto" w:fill="auto"/>
            <w:noWrap/>
            <w:vAlign w:val="bottom"/>
          </w:tcPr>
          <w:p>
            <w:pPr>
              <w:widowControl/>
              <w:spacing w:line="240" w:lineRule="auto"/>
              <w:jc w:val="center"/>
              <w:rPr>
                <w:rFonts w:ascii="黑体" w:hAnsi="Arial" w:eastAsia="黑体" w:cs="Arial"/>
                <w:kern w:val="0"/>
                <w:sz w:val="44"/>
                <w:szCs w:val="44"/>
              </w:rPr>
            </w:pPr>
            <w:r>
              <w:rPr>
                <w:rFonts w:hint="eastAsia" w:ascii="黑体" w:hAnsi="Arial" w:eastAsia="黑体" w:cs="Arial"/>
                <w:color w:val="000000"/>
                <w:kern w:val="0"/>
                <w:sz w:val="36"/>
                <w:szCs w:val="36"/>
              </w:rPr>
              <w:t>收支决算总表</w:t>
            </w:r>
          </w:p>
        </w:tc>
      </w:tr>
      <w:tr>
        <w:tblPrEx>
          <w:tblCellMar>
            <w:top w:w="0" w:type="dxa"/>
            <w:left w:w="108" w:type="dxa"/>
            <w:bottom w:w="0" w:type="dxa"/>
            <w:right w:w="108" w:type="dxa"/>
          </w:tblCellMar>
        </w:tblPrEx>
        <w:trPr>
          <w:trHeight w:val="300" w:hRule="atLeast"/>
        </w:trPr>
        <w:tc>
          <w:tcPr>
            <w:tcW w:w="3747"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008"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3637"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074" w:type="dxa"/>
            <w:tcBorders>
              <w:top w:val="nil"/>
              <w:left w:val="nil"/>
              <w:bottom w:val="nil"/>
              <w:right w:val="nil"/>
            </w:tcBorders>
            <w:shd w:val="clear" w:color="auto" w:fill="auto"/>
            <w:noWrap/>
            <w:vAlign w:val="bottom"/>
          </w:tcPr>
          <w:p>
            <w:pPr>
              <w:widowControl/>
              <w:spacing w:line="240" w:lineRule="auto"/>
              <w:jc w:val="right"/>
              <w:rPr>
                <w:rFonts w:ascii="宋体" w:hAnsi="宋体" w:eastAsia="宋体" w:cs="Arial"/>
                <w:color w:val="000000"/>
                <w:kern w:val="0"/>
                <w:sz w:val="24"/>
                <w:szCs w:val="24"/>
              </w:rPr>
            </w:pPr>
          </w:p>
        </w:tc>
      </w:tr>
      <w:tr>
        <w:tblPrEx>
          <w:tblCellMar>
            <w:top w:w="0" w:type="dxa"/>
            <w:left w:w="108" w:type="dxa"/>
            <w:bottom w:w="0" w:type="dxa"/>
            <w:right w:w="108" w:type="dxa"/>
          </w:tblCellMar>
        </w:tblPrEx>
        <w:trPr>
          <w:trHeight w:val="300" w:hRule="atLeast"/>
        </w:trPr>
        <w:tc>
          <w:tcPr>
            <w:tcW w:w="3747" w:type="dxa"/>
            <w:tcBorders>
              <w:top w:val="nil"/>
              <w:left w:val="nil"/>
              <w:bottom w:val="nil"/>
              <w:right w:val="nil"/>
            </w:tcBorders>
            <w:shd w:val="clear" w:color="auto" w:fill="auto"/>
            <w:noWrap/>
            <w:vAlign w:val="bottom"/>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编制单位：连城县朋口镇人民政府</w:t>
            </w:r>
          </w:p>
        </w:tc>
        <w:tc>
          <w:tcPr>
            <w:tcW w:w="1008" w:type="dxa"/>
            <w:tcBorders>
              <w:top w:val="nil"/>
              <w:left w:val="nil"/>
              <w:bottom w:val="nil"/>
              <w:right w:val="nil"/>
            </w:tcBorders>
            <w:shd w:val="clear" w:color="auto" w:fill="auto"/>
            <w:noWrap/>
            <w:vAlign w:val="bottom"/>
          </w:tcPr>
          <w:p>
            <w:pPr>
              <w:widowControl/>
              <w:spacing w:line="240" w:lineRule="auto"/>
              <w:jc w:val="right"/>
              <w:rPr>
                <w:rFonts w:ascii="宋体" w:hAnsi="宋体" w:eastAsia="宋体" w:cs="Arial"/>
                <w:color w:val="000000"/>
                <w:kern w:val="0"/>
                <w:sz w:val="20"/>
                <w:szCs w:val="20"/>
              </w:rPr>
            </w:pPr>
          </w:p>
        </w:tc>
        <w:tc>
          <w:tcPr>
            <w:tcW w:w="4711" w:type="dxa"/>
            <w:gridSpan w:val="2"/>
            <w:tcBorders>
              <w:top w:val="nil"/>
              <w:left w:val="nil"/>
              <w:bottom w:val="nil"/>
              <w:right w:val="nil"/>
            </w:tcBorders>
            <w:shd w:val="clear" w:color="auto" w:fill="auto"/>
            <w:noWrap/>
            <w:vAlign w:val="bottom"/>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单位：万元</w:t>
            </w:r>
          </w:p>
        </w:tc>
      </w:tr>
      <w:tr>
        <w:tblPrEx>
          <w:tblCellMar>
            <w:top w:w="0" w:type="dxa"/>
            <w:left w:w="108" w:type="dxa"/>
            <w:bottom w:w="0" w:type="dxa"/>
            <w:right w:w="108" w:type="dxa"/>
          </w:tblCellMar>
        </w:tblPrEx>
        <w:trPr>
          <w:trHeight w:val="329" w:hRule="exact"/>
        </w:trPr>
        <w:tc>
          <w:tcPr>
            <w:tcW w:w="4755" w:type="dxa"/>
            <w:gridSpan w:val="2"/>
            <w:tcBorders>
              <w:top w:val="single" w:color="000000" w:sz="8" w:space="0"/>
              <w:left w:val="single" w:color="000000" w:sz="8" w:space="0"/>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收入</w:t>
            </w:r>
          </w:p>
        </w:tc>
        <w:tc>
          <w:tcPr>
            <w:tcW w:w="4711" w:type="dxa"/>
            <w:gridSpan w:val="2"/>
            <w:tcBorders>
              <w:top w:val="single" w:color="000000" w:sz="8" w:space="0"/>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支出</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008" w:type="dxa"/>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3637" w:type="dxa"/>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项目(按支出功能分类)</w:t>
            </w:r>
          </w:p>
        </w:tc>
        <w:tc>
          <w:tcPr>
            <w:tcW w:w="1074" w:type="dxa"/>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tcPr>
          <w:p>
            <w:pPr>
              <w:rPr>
                <w:rFonts w:cs="Arial"/>
                <w:color w:val="000000"/>
                <w:sz w:val="22"/>
              </w:rPr>
            </w:pPr>
            <w:r>
              <w:rPr>
                <w:rFonts w:hint="eastAsia" w:cs="Arial"/>
                <w:color w:val="000000"/>
                <w:sz w:val="22"/>
              </w:rPr>
              <w:t>一、一般公共预算财政拨款收入</w:t>
            </w:r>
          </w:p>
        </w:tc>
        <w:tc>
          <w:tcPr>
            <w:tcW w:w="100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2172.38</w:t>
            </w: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一、一般公共服务支出</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948.99</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tcPr>
          <w:p>
            <w:pPr>
              <w:rPr>
                <w:rFonts w:cs="Arial"/>
                <w:color w:val="000000"/>
                <w:sz w:val="22"/>
              </w:rPr>
            </w:pPr>
            <w:r>
              <w:rPr>
                <w:rFonts w:hint="eastAsia" w:cs="Arial"/>
                <w:color w:val="000000"/>
                <w:sz w:val="22"/>
              </w:rPr>
              <w:t>二、政府性基金预算财政拨款收入</w:t>
            </w:r>
          </w:p>
        </w:tc>
        <w:tc>
          <w:tcPr>
            <w:tcW w:w="100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二、外交支出</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tcPr>
          <w:p>
            <w:pPr>
              <w:rPr>
                <w:rFonts w:cs="Arial"/>
                <w:color w:val="000000"/>
                <w:sz w:val="22"/>
              </w:rPr>
            </w:pPr>
            <w:r>
              <w:rPr>
                <w:rFonts w:hint="eastAsia" w:cs="Arial"/>
                <w:color w:val="000000"/>
                <w:sz w:val="22"/>
              </w:rPr>
              <w:t>三、国有资本经营预算财政拨款收入</w:t>
            </w:r>
          </w:p>
        </w:tc>
        <w:tc>
          <w:tcPr>
            <w:tcW w:w="100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三、国防支出</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tcPr>
          <w:p>
            <w:pPr>
              <w:rPr>
                <w:rFonts w:cs="Arial"/>
                <w:color w:val="000000"/>
                <w:sz w:val="22"/>
              </w:rPr>
            </w:pPr>
            <w:r>
              <w:rPr>
                <w:rFonts w:hint="eastAsia" w:cs="Arial"/>
                <w:color w:val="000000"/>
                <w:sz w:val="22"/>
              </w:rPr>
              <w:t>四、上级补助收入</w:t>
            </w:r>
          </w:p>
        </w:tc>
        <w:tc>
          <w:tcPr>
            <w:tcW w:w="100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四、公共安全支出</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tcPr>
          <w:p>
            <w:pPr>
              <w:rPr>
                <w:rFonts w:cs="Arial"/>
                <w:color w:val="000000"/>
                <w:sz w:val="22"/>
              </w:rPr>
            </w:pPr>
            <w:r>
              <w:rPr>
                <w:rFonts w:hint="eastAsia" w:cs="Arial"/>
                <w:color w:val="000000"/>
                <w:sz w:val="22"/>
              </w:rPr>
              <w:t>五、事业收入</w:t>
            </w:r>
          </w:p>
        </w:tc>
        <w:tc>
          <w:tcPr>
            <w:tcW w:w="100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五、教育支出</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tcPr>
          <w:p>
            <w:pPr>
              <w:rPr>
                <w:rFonts w:cs="Arial"/>
                <w:color w:val="000000"/>
                <w:sz w:val="22"/>
              </w:rPr>
            </w:pPr>
            <w:r>
              <w:rPr>
                <w:rFonts w:hint="eastAsia" w:cs="Arial"/>
                <w:color w:val="000000"/>
                <w:sz w:val="22"/>
              </w:rPr>
              <w:t>六、经营收入</w:t>
            </w:r>
          </w:p>
        </w:tc>
        <w:tc>
          <w:tcPr>
            <w:tcW w:w="100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六、科学技术支出</w:t>
            </w:r>
          </w:p>
        </w:tc>
        <w:tc>
          <w:tcPr>
            <w:tcW w:w="107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tcPr>
          <w:p>
            <w:pPr>
              <w:rPr>
                <w:rFonts w:cs="Arial"/>
                <w:color w:val="000000"/>
                <w:sz w:val="22"/>
              </w:rPr>
            </w:pPr>
            <w:r>
              <w:rPr>
                <w:rFonts w:hint="eastAsia" w:cs="Arial"/>
                <w:color w:val="000000"/>
                <w:sz w:val="22"/>
              </w:rPr>
              <w:t>七、附属单位上缴收入</w:t>
            </w:r>
          </w:p>
        </w:tc>
        <w:tc>
          <w:tcPr>
            <w:tcW w:w="100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七、文化旅游体育与传媒支出</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tcPr>
          <w:p>
            <w:pPr>
              <w:rPr>
                <w:rFonts w:cs="Arial"/>
                <w:color w:val="000000"/>
                <w:sz w:val="22"/>
              </w:rPr>
            </w:pPr>
            <w:r>
              <w:rPr>
                <w:rFonts w:hint="eastAsia" w:cs="Arial"/>
                <w:color w:val="000000"/>
                <w:sz w:val="22"/>
              </w:rPr>
              <w:t>八、其他收入</w:t>
            </w:r>
          </w:p>
        </w:tc>
        <w:tc>
          <w:tcPr>
            <w:tcW w:w="100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八、社会保障和就业支出</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80.23</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九、卫生健康支出</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35.04</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十、节能环保支出</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603.24</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十一、城乡社区支出</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476.00</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十二、农林水支出</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541.25</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十三、交通运输支出</w:t>
            </w:r>
          </w:p>
        </w:tc>
        <w:tc>
          <w:tcPr>
            <w:tcW w:w="107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r>
              <w:rPr>
                <w:rFonts w:hint="eastAsia" w:ascii="宋体" w:hAnsi="宋体" w:eastAsia="宋体" w:cs="Arial"/>
                <w:color w:val="000000"/>
                <w:kern w:val="0"/>
                <w:sz w:val="22"/>
              </w:rPr>
              <w:t>15.00</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十四、资源勘探信息等支出</w:t>
            </w:r>
          </w:p>
        </w:tc>
        <w:tc>
          <w:tcPr>
            <w:tcW w:w="107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auto"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nil"/>
              <w:left w:val="nil"/>
              <w:bottom w:val="single" w:color="auto"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nil"/>
              <w:left w:val="nil"/>
              <w:bottom w:val="single" w:color="auto"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十五、商业服务业等支出</w:t>
            </w:r>
          </w:p>
        </w:tc>
        <w:tc>
          <w:tcPr>
            <w:tcW w:w="1074" w:type="dxa"/>
            <w:tcBorders>
              <w:top w:val="nil"/>
              <w:left w:val="nil"/>
              <w:bottom w:val="single" w:color="auto"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十六、金融支出</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single" w:color="auto" w:sz="4" w:space="0"/>
              <w:left w:val="single" w:color="000000" w:sz="8" w:space="0"/>
              <w:bottom w:val="single" w:color="auto"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single" w:color="auto" w:sz="4" w:space="0"/>
              <w:left w:val="nil"/>
              <w:bottom w:val="single" w:color="auto"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single" w:color="auto" w:sz="4" w:space="0"/>
              <w:left w:val="nil"/>
              <w:bottom w:val="single" w:color="auto"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十七、援助其他地区支出</w:t>
            </w:r>
          </w:p>
        </w:tc>
        <w:tc>
          <w:tcPr>
            <w:tcW w:w="1074" w:type="dxa"/>
            <w:tcBorders>
              <w:top w:val="single" w:color="auto" w:sz="4" w:space="0"/>
              <w:left w:val="nil"/>
              <w:bottom w:val="single" w:color="auto"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十八、自然资源海洋气象等支出</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22"/>
              </w:rPr>
            </w:pPr>
            <w:r>
              <w:rPr>
                <w:rFonts w:hint="eastAsia" w:ascii="宋体" w:hAnsi="宋体" w:eastAsia="宋体" w:cs="Arial"/>
                <w:color w:val="000000"/>
                <w:kern w:val="0"/>
                <w:sz w:val="22"/>
              </w:rPr>
              <w:t>5.00</w:t>
            </w:r>
          </w:p>
        </w:tc>
      </w:tr>
      <w:tr>
        <w:tblPrEx>
          <w:tblCellMar>
            <w:top w:w="0" w:type="dxa"/>
            <w:left w:w="108" w:type="dxa"/>
            <w:bottom w:w="0" w:type="dxa"/>
            <w:right w:w="108" w:type="dxa"/>
          </w:tblCellMar>
        </w:tblPrEx>
        <w:trPr>
          <w:trHeight w:val="329" w:hRule="exact"/>
        </w:trPr>
        <w:tc>
          <w:tcPr>
            <w:tcW w:w="3747" w:type="dxa"/>
            <w:tcBorders>
              <w:top w:val="single" w:color="auto" w:sz="4" w:space="0"/>
              <w:left w:val="single" w:color="000000" w:sz="8" w:space="0"/>
              <w:bottom w:val="single" w:color="auto"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single" w:color="auto" w:sz="4" w:space="0"/>
              <w:left w:val="nil"/>
              <w:bottom w:val="single" w:color="auto"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single" w:color="auto" w:sz="4" w:space="0"/>
              <w:left w:val="nil"/>
              <w:bottom w:val="single" w:color="auto"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十九、住房保障支出</w:t>
            </w:r>
          </w:p>
        </w:tc>
        <w:tc>
          <w:tcPr>
            <w:tcW w:w="1074" w:type="dxa"/>
            <w:tcBorders>
              <w:top w:val="single" w:color="auto" w:sz="4" w:space="0"/>
              <w:left w:val="nil"/>
              <w:bottom w:val="single" w:color="auto"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二十、粮油物资储备支出</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22"/>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cs="Arial"/>
                <w:color w:val="000000"/>
                <w:sz w:val="22"/>
              </w:rPr>
            </w:pPr>
            <w:r>
              <w:rPr>
                <w:rFonts w:hint="eastAsia" w:cs="Arial"/>
                <w:color w:val="000000"/>
                <w:sz w:val="22"/>
              </w:rPr>
              <w:t>二十一、国有资本经营预算支出</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二十二、灾害防治及应急管理支出</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single" w:color="auto" w:sz="4" w:space="0"/>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single" w:color="auto" w:sz="4" w:space="0"/>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single" w:color="auto" w:sz="4" w:space="0"/>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二十三、其他支出</w:t>
            </w:r>
          </w:p>
        </w:tc>
        <w:tc>
          <w:tcPr>
            <w:tcW w:w="1074" w:type="dxa"/>
            <w:tcBorders>
              <w:top w:val="single" w:color="auto" w:sz="4" w:space="0"/>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0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二十四、债务还本支出</w:t>
            </w:r>
          </w:p>
        </w:tc>
        <w:tc>
          <w:tcPr>
            <w:tcW w:w="107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b/>
                <w:bCs/>
                <w:color w:val="000000"/>
                <w:kern w:val="0"/>
                <w:sz w:val="22"/>
              </w:rPr>
            </w:pPr>
          </w:p>
        </w:tc>
        <w:tc>
          <w:tcPr>
            <w:tcW w:w="100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cs="Arial"/>
                <w:color w:val="000000"/>
                <w:sz w:val="22"/>
              </w:rPr>
            </w:pPr>
            <w:r>
              <w:rPr>
                <w:rFonts w:hint="eastAsia" w:cs="Arial"/>
                <w:color w:val="000000"/>
                <w:sz w:val="22"/>
              </w:rPr>
              <w:t>二十五、债务付息支出</w:t>
            </w:r>
          </w:p>
        </w:tc>
        <w:tc>
          <w:tcPr>
            <w:tcW w:w="107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宋体"/>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b/>
                <w:bCs/>
                <w:color w:val="000000"/>
                <w:kern w:val="0"/>
                <w:sz w:val="22"/>
              </w:rPr>
            </w:pPr>
          </w:p>
        </w:tc>
        <w:tc>
          <w:tcPr>
            <w:tcW w:w="100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c>
          <w:tcPr>
            <w:tcW w:w="3637" w:type="dxa"/>
            <w:tcBorders>
              <w:top w:val="nil"/>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ascii="宋体" w:hAnsi="宋体" w:eastAsia="宋体" w:cs="Arial"/>
                <w:color w:val="000000"/>
                <w:sz w:val="22"/>
              </w:rPr>
              <w:t>二十六、抗疫特别国债安排的支出</w:t>
            </w:r>
          </w:p>
        </w:tc>
        <w:tc>
          <w:tcPr>
            <w:tcW w:w="107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100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2172.38</w:t>
            </w:r>
          </w:p>
        </w:tc>
        <w:tc>
          <w:tcPr>
            <w:tcW w:w="3637" w:type="dxa"/>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2704.75</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xml:space="preserve">    使用非财政拨款结余</w:t>
            </w:r>
          </w:p>
        </w:tc>
        <w:tc>
          <w:tcPr>
            <w:tcW w:w="100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r>
              <w:rPr>
                <w:rFonts w:hint="eastAsia" w:ascii="宋体" w:hAnsi="宋体" w:eastAsia="宋体" w:cs="宋体"/>
                <w:color w:val="000000"/>
                <w:kern w:val="0"/>
                <w:sz w:val="22"/>
              </w:rPr>
              <w:t>0.00</w:t>
            </w:r>
          </w:p>
        </w:tc>
        <w:tc>
          <w:tcPr>
            <w:tcW w:w="3637" w:type="dxa"/>
            <w:tcBorders>
              <w:top w:val="nil"/>
              <w:left w:val="nil"/>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xml:space="preserve">    结余分配</w:t>
            </w:r>
          </w:p>
        </w:tc>
        <w:tc>
          <w:tcPr>
            <w:tcW w:w="107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eastAsia="宋体" w:cs="Arial"/>
                <w:color w:val="000000"/>
                <w:kern w:val="0"/>
                <w:sz w:val="22"/>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xml:space="preserve">    年初结转和结余</w:t>
            </w:r>
          </w:p>
        </w:tc>
        <w:tc>
          <w:tcPr>
            <w:tcW w:w="100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961.85</w:t>
            </w:r>
          </w:p>
        </w:tc>
        <w:tc>
          <w:tcPr>
            <w:tcW w:w="3637" w:type="dxa"/>
            <w:tcBorders>
              <w:top w:val="nil"/>
              <w:left w:val="nil"/>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xml:space="preserve">    年末结转和结余</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429.48</w:t>
            </w:r>
          </w:p>
        </w:tc>
      </w:tr>
      <w:tr>
        <w:tblPrEx>
          <w:tblCellMar>
            <w:top w:w="0" w:type="dxa"/>
            <w:left w:w="108" w:type="dxa"/>
            <w:bottom w:w="0" w:type="dxa"/>
            <w:right w:w="108" w:type="dxa"/>
          </w:tblCellMar>
        </w:tblPrEx>
        <w:trPr>
          <w:trHeight w:val="329" w:hRule="exact"/>
        </w:trPr>
        <w:tc>
          <w:tcPr>
            <w:tcW w:w="3747"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b/>
                <w:bCs/>
                <w:color w:val="000000"/>
                <w:kern w:val="0"/>
                <w:sz w:val="22"/>
              </w:rPr>
            </w:pPr>
            <w:r>
              <w:rPr>
                <w:rFonts w:hint="eastAsia" w:ascii="宋体" w:hAnsi="宋体" w:eastAsia="宋体" w:cs="Arial"/>
                <w:b/>
                <w:bCs/>
                <w:color w:val="000000"/>
                <w:kern w:val="0"/>
                <w:sz w:val="22"/>
              </w:rPr>
              <w:t>合计</w:t>
            </w:r>
          </w:p>
        </w:tc>
        <w:tc>
          <w:tcPr>
            <w:tcW w:w="100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3134.23</w:t>
            </w:r>
          </w:p>
        </w:tc>
        <w:tc>
          <w:tcPr>
            <w:tcW w:w="3637" w:type="dxa"/>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b/>
                <w:bCs/>
                <w:color w:val="000000"/>
                <w:kern w:val="0"/>
                <w:sz w:val="22"/>
              </w:rPr>
            </w:pPr>
            <w:r>
              <w:rPr>
                <w:rFonts w:hint="eastAsia" w:ascii="宋体" w:hAnsi="宋体" w:eastAsia="宋体" w:cs="Arial"/>
                <w:b/>
                <w:bCs/>
                <w:color w:val="000000"/>
                <w:kern w:val="0"/>
                <w:sz w:val="22"/>
              </w:rPr>
              <w:t>合计</w:t>
            </w:r>
          </w:p>
        </w:tc>
        <w:tc>
          <w:tcPr>
            <w:tcW w:w="107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3134.23</w:t>
            </w:r>
          </w:p>
        </w:tc>
      </w:tr>
    </w:tbl>
    <w:p>
      <w:pPr>
        <w:pStyle w:val="7"/>
        <w:rPr>
          <w:rFonts w:ascii="Times New Roman" w:hAnsi="Times New Roman" w:cs="Times New Roman" w:eastAsiaTheme="minorEastAsia"/>
          <w:color w:val="FF0000"/>
        </w:rPr>
      </w:pPr>
      <w:r>
        <w:rPr>
          <w:rFonts w:hint="eastAsia" w:ascii="Times New Roman" w:hAnsi="Times New Roman" w:cs="Times New Roman" w:eastAsiaTheme="minorEastAsia"/>
          <w:color w:val="FF0000"/>
        </w:rPr>
        <w:t>注：</w:t>
      </w:r>
      <w:r>
        <w:rPr>
          <w:rFonts w:ascii="Times New Roman" w:hAnsi="Times New Roman" w:cs="Times New Roman" w:eastAsiaTheme="minorEastAsia"/>
          <w:color w:val="FF0000"/>
        </w:rPr>
        <w:t>本表金额转换为万元时，因四舍五入可能存在尾</w:t>
      </w:r>
      <w:r>
        <w:rPr>
          <w:rFonts w:hint="eastAsia" w:ascii="Times New Roman" w:hAnsi="Times New Roman" w:cs="Times New Roman" w:eastAsiaTheme="minorEastAsia"/>
          <w:color w:val="FF0000"/>
        </w:rPr>
        <w:t>数</w:t>
      </w:r>
      <w:r>
        <w:rPr>
          <w:rFonts w:ascii="Times New Roman" w:hAnsi="Times New Roman" w:cs="Times New Roman" w:eastAsiaTheme="minorEastAsia"/>
          <w:color w:val="FF0000"/>
        </w:rPr>
        <w:t>差</w:t>
      </w:r>
      <w:r>
        <w:rPr>
          <w:rFonts w:hint="eastAsia" w:ascii="Times New Roman" w:hAnsi="Times New Roman" w:cs="Times New Roman" w:eastAsiaTheme="minorEastAsia"/>
          <w:color w:val="FF0000"/>
        </w:rPr>
        <w:t>异</w:t>
      </w:r>
      <w:r>
        <w:rPr>
          <w:rFonts w:ascii="Times New Roman" w:hAnsi="Times New Roman" w:cs="Times New Roman" w:eastAsiaTheme="minorEastAsia"/>
          <w:color w:val="FF0000"/>
        </w:rPr>
        <w:t>。</w:t>
      </w:r>
    </w:p>
    <w:p>
      <w:pPr>
        <w:pStyle w:val="8"/>
        <w:numPr>
          <w:ilvl w:val="0"/>
          <w:numId w:val="1"/>
        </w:numPr>
        <w:ind w:firstLineChars="0"/>
        <w:jc w:val="left"/>
        <w:rPr>
          <w:rFonts w:ascii="黑体" w:hAnsi="仿宋" w:eastAsia="黑体"/>
          <w:sz w:val="32"/>
          <w:szCs w:val="32"/>
        </w:rPr>
      </w:pPr>
      <w:r>
        <w:rPr>
          <w:rFonts w:hint="eastAsia" w:ascii="黑体" w:hAnsi="仿宋" w:eastAsia="黑体"/>
          <w:sz w:val="32"/>
          <w:szCs w:val="32"/>
        </w:rPr>
        <w:t xml:space="preserve">收入决算表 </w:t>
      </w:r>
    </w:p>
    <w:tbl>
      <w:tblPr>
        <w:tblStyle w:val="5"/>
        <w:tblW w:w="9799" w:type="dxa"/>
        <w:tblInd w:w="0" w:type="dxa"/>
        <w:tblLayout w:type="fixed"/>
        <w:tblCellMar>
          <w:top w:w="0" w:type="dxa"/>
          <w:left w:w="0" w:type="dxa"/>
          <w:bottom w:w="0" w:type="dxa"/>
          <w:right w:w="0" w:type="dxa"/>
        </w:tblCellMar>
      </w:tblPr>
      <w:tblGrid>
        <w:gridCol w:w="919"/>
        <w:gridCol w:w="405"/>
        <w:gridCol w:w="360"/>
        <w:gridCol w:w="2483"/>
        <w:gridCol w:w="787"/>
        <w:gridCol w:w="1080"/>
        <w:gridCol w:w="885"/>
        <w:gridCol w:w="630"/>
        <w:gridCol w:w="600"/>
        <w:gridCol w:w="810"/>
        <w:gridCol w:w="840"/>
      </w:tblGrid>
      <w:tr>
        <w:tblPrEx>
          <w:tblCellMar>
            <w:top w:w="0" w:type="dxa"/>
            <w:left w:w="0" w:type="dxa"/>
            <w:bottom w:w="0" w:type="dxa"/>
            <w:right w:w="0" w:type="dxa"/>
          </w:tblCellMar>
        </w:tblPrEx>
        <w:trPr>
          <w:trHeight w:val="474" w:hRule="atLeast"/>
        </w:trPr>
        <w:tc>
          <w:tcPr>
            <w:tcW w:w="919" w:type="dxa"/>
            <w:tcBorders>
              <w:top w:val="nil"/>
              <w:left w:val="nil"/>
              <w:bottom w:val="nil"/>
              <w:right w:val="nil"/>
            </w:tcBorders>
            <w:shd w:val="clear" w:color="auto" w:fill="auto"/>
            <w:noWrap/>
            <w:tcMar>
              <w:top w:w="15" w:type="dxa"/>
              <w:left w:w="15" w:type="dxa"/>
              <w:right w:w="15" w:type="dxa"/>
            </w:tcMar>
            <w:vAlign w:val="bottom"/>
          </w:tcPr>
          <w:p>
            <w:pPr>
              <w:widowControl/>
              <w:jc w:val="left"/>
              <w:textAlignment w:val="bottom"/>
              <w:rPr>
                <w:rFonts w:ascii="黑体" w:hAnsi="Arial" w:eastAsia="黑体" w:cs="黑体"/>
                <w:color w:val="000000"/>
                <w:sz w:val="28"/>
                <w:szCs w:val="28"/>
              </w:rPr>
            </w:pPr>
            <w:r>
              <w:rPr>
                <w:rFonts w:hint="eastAsia" w:ascii="黑体" w:hAnsi="Arial" w:eastAsia="黑体" w:cs="黑体"/>
                <w:color w:val="000000"/>
                <w:kern w:val="0"/>
                <w:sz w:val="28"/>
                <w:szCs w:val="28"/>
              </w:rPr>
              <w:t>附件2</w:t>
            </w:r>
          </w:p>
        </w:tc>
        <w:tc>
          <w:tcPr>
            <w:tcW w:w="405" w:type="dxa"/>
            <w:tcBorders>
              <w:top w:val="nil"/>
              <w:left w:val="nil"/>
              <w:bottom w:val="nil"/>
              <w:right w:val="nil"/>
            </w:tcBorders>
            <w:shd w:val="clear" w:color="auto" w:fill="auto"/>
            <w:noWrap/>
            <w:tcMar>
              <w:top w:w="15" w:type="dxa"/>
              <w:left w:w="15" w:type="dxa"/>
              <w:right w:w="15" w:type="dxa"/>
            </w:tcMar>
            <w:vAlign w:val="bottom"/>
          </w:tcPr>
          <w:p>
            <w:pPr>
              <w:rPr>
                <w:rFonts w:ascii="Arial" w:hAnsi="Arial" w:cs="Arial"/>
                <w:color w:val="000000"/>
                <w:sz w:val="20"/>
                <w:szCs w:val="20"/>
              </w:rPr>
            </w:pPr>
          </w:p>
        </w:tc>
        <w:tc>
          <w:tcPr>
            <w:tcW w:w="360" w:type="dxa"/>
            <w:tcBorders>
              <w:top w:val="nil"/>
              <w:left w:val="nil"/>
              <w:bottom w:val="nil"/>
              <w:right w:val="nil"/>
            </w:tcBorders>
            <w:shd w:val="clear" w:color="auto" w:fill="auto"/>
            <w:noWrap/>
            <w:tcMar>
              <w:top w:w="15" w:type="dxa"/>
              <w:left w:w="15" w:type="dxa"/>
              <w:right w:w="15" w:type="dxa"/>
            </w:tcMar>
            <w:vAlign w:val="bottom"/>
          </w:tcPr>
          <w:p>
            <w:pPr>
              <w:rPr>
                <w:rFonts w:ascii="Arial" w:hAnsi="Arial" w:cs="Arial"/>
                <w:color w:val="000000"/>
                <w:sz w:val="32"/>
                <w:szCs w:val="32"/>
              </w:rPr>
            </w:pPr>
          </w:p>
        </w:tc>
        <w:tc>
          <w:tcPr>
            <w:tcW w:w="5865" w:type="dxa"/>
            <w:gridSpan w:val="5"/>
            <w:tcBorders>
              <w:top w:val="nil"/>
              <w:left w:val="nil"/>
              <w:bottom w:val="nil"/>
              <w:right w:val="nil"/>
            </w:tcBorders>
            <w:shd w:val="clear" w:color="auto" w:fill="auto"/>
            <w:noWrap/>
            <w:tcMar>
              <w:top w:w="15" w:type="dxa"/>
              <w:left w:w="15" w:type="dxa"/>
              <w:right w:w="15" w:type="dxa"/>
            </w:tcMar>
            <w:vAlign w:val="bottom"/>
          </w:tcPr>
          <w:p>
            <w:pPr>
              <w:jc w:val="center"/>
              <w:rPr>
                <w:rFonts w:ascii="Arial" w:hAnsi="Arial" w:cs="Arial"/>
                <w:color w:val="000000"/>
                <w:sz w:val="20"/>
                <w:szCs w:val="20"/>
              </w:rPr>
            </w:pPr>
            <w:r>
              <w:rPr>
                <w:rFonts w:hint="eastAsia" w:ascii="黑体" w:hAnsi="Arial" w:eastAsia="黑体" w:cs="Arial"/>
                <w:color w:val="000000"/>
                <w:kern w:val="0"/>
                <w:sz w:val="36"/>
                <w:szCs w:val="36"/>
              </w:rPr>
              <w:t>收入决算表</w:t>
            </w:r>
          </w:p>
        </w:tc>
        <w:tc>
          <w:tcPr>
            <w:tcW w:w="600" w:type="dxa"/>
            <w:tcBorders>
              <w:top w:val="nil"/>
              <w:left w:val="nil"/>
              <w:bottom w:val="nil"/>
              <w:right w:val="nil"/>
            </w:tcBorders>
            <w:shd w:val="clear" w:color="auto" w:fill="auto"/>
            <w:noWrap/>
            <w:tcMar>
              <w:top w:w="15" w:type="dxa"/>
              <w:left w:w="15" w:type="dxa"/>
              <w:right w:w="15" w:type="dxa"/>
            </w:tcMar>
            <w:vAlign w:val="bottom"/>
          </w:tcPr>
          <w:p>
            <w:pPr>
              <w:rPr>
                <w:rFonts w:ascii="Arial" w:hAnsi="Arial" w:cs="Arial"/>
                <w:color w:val="000000"/>
                <w:sz w:val="20"/>
                <w:szCs w:val="20"/>
              </w:rPr>
            </w:pPr>
          </w:p>
        </w:tc>
        <w:tc>
          <w:tcPr>
            <w:tcW w:w="810" w:type="dxa"/>
            <w:tcBorders>
              <w:top w:val="nil"/>
              <w:left w:val="nil"/>
              <w:bottom w:val="nil"/>
              <w:right w:val="nil"/>
            </w:tcBorders>
            <w:shd w:val="clear" w:color="auto" w:fill="auto"/>
            <w:noWrap/>
            <w:tcMar>
              <w:top w:w="15" w:type="dxa"/>
              <w:left w:w="15" w:type="dxa"/>
              <w:right w:w="15" w:type="dxa"/>
            </w:tcMar>
            <w:vAlign w:val="bottom"/>
          </w:tcPr>
          <w:p>
            <w:pPr>
              <w:rPr>
                <w:rFonts w:ascii="Arial" w:hAnsi="Arial" w:cs="Arial"/>
                <w:color w:val="000000"/>
                <w:sz w:val="20"/>
                <w:szCs w:val="20"/>
              </w:rPr>
            </w:pPr>
          </w:p>
        </w:tc>
        <w:tc>
          <w:tcPr>
            <w:tcW w:w="840" w:type="dxa"/>
            <w:tcBorders>
              <w:top w:val="nil"/>
              <w:left w:val="nil"/>
              <w:bottom w:val="nil"/>
              <w:right w:val="nil"/>
            </w:tcBorders>
            <w:shd w:val="clear" w:color="auto" w:fill="auto"/>
            <w:noWrap/>
            <w:tcMar>
              <w:top w:w="15" w:type="dxa"/>
              <w:left w:w="15" w:type="dxa"/>
              <w:right w:w="15" w:type="dxa"/>
            </w:tcMar>
            <w:vAlign w:val="bottom"/>
          </w:tcPr>
          <w:p>
            <w:pPr>
              <w:rPr>
                <w:rFonts w:ascii="Arial" w:hAnsi="Arial" w:cs="Arial"/>
                <w:color w:val="000000"/>
                <w:sz w:val="20"/>
                <w:szCs w:val="20"/>
              </w:rPr>
            </w:pPr>
          </w:p>
        </w:tc>
      </w:tr>
      <w:tr>
        <w:tblPrEx>
          <w:tblCellMar>
            <w:top w:w="0" w:type="dxa"/>
            <w:left w:w="0" w:type="dxa"/>
            <w:bottom w:w="0" w:type="dxa"/>
            <w:right w:w="0" w:type="dxa"/>
          </w:tblCellMar>
        </w:tblPrEx>
        <w:trPr>
          <w:trHeight w:val="492" w:hRule="atLeast"/>
        </w:trPr>
        <w:tc>
          <w:tcPr>
            <w:tcW w:w="4167" w:type="dxa"/>
            <w:gridSpan w:val="4"/>
            <w:tcBorders>
              <w:top w:val="nil"/>
              <w:left w:val="nil"/>
              <w:bottom w:val="nil"/>
              <w:right w:val="nil"/>
            </w:tcBorders>
            <w:shd w:val="clear" w:color="auto" w:fill="auto"/>
            <w:noWrap/>
            <w:tcMar>
              <w:top w:w="15" w:type="dxa"/>
              <w:left w:w="15" w:type="dxa"/>
              <w:right w:w="15" w:type="dxa"/>
            </w:tcMar>
            <w:vAlign w:val="bottom"/>
          </w:tcPr>
          <w:p>
            <w:pPr>
              <w:rPr>
                <w:rFonts w:ascii="Arial" w:hAnsi="Arial" w:cs="Arial"/>
                <w:color w:val="000000"/>
                <w:sz w:val="20"/>
                <w:szCs w:val="20"/>
              </w:rPr>
            </w:pPr>
            <w:r>
              <w:rPr>
                <w:rFonts w:hint="eastAsia" w:ascii="宋体" w:hAnsi="宋体" w:eastAsia="宋体" w:cs="宋体"/>
                <w:color w:val="000000"/>
                <w:kern w:val="0"/>
                <w:sz w:val="22"/>
              </w:rPr>
              <w:t>编制单位：</w:t>
            </w:r>
            <w:r>
              <w:rPr>
                <w:rFonts w:hint="eastAsia" w:ascii="宋体" w:hAnsi="宋体" w:eastAsia="宋体" w:cs="Arial"/>
                <w:color w:val="000000"/>
                <w:kern w:val="0"/>
                <w:sz w:val="22"/>
              </w:rPr>
              <w:t>连城县朋口镇人民政府</w:t>
            </w:r>
          </w:p>
        </w:tc>
        <w:tc>
          <w:tcPr>
            <w:tcW w:w="787" w:type="dxa"/>
            <w:tcBorders>
              <w:top w:val="nil"/>
              <w:left w:val="nil"/>
              <w:bottom w:val="nil"/>
              <w:right w:val="nil"/>
            </w:tcBorders>
            <w:shd w:val="clear" w:color="auto" w:fill="auto"/>
            <w:noWrap/>
            <w:tcMar>
              <w:top w:w="15" w:type="dxa"/>
              <w:left w:w="15" w:type="dxa"/>
              <w:right w:w="15" w:type="dxa"/>
            </w:tcMar>
            <w:vAlign w:val="bottom"/>
          </w:tcPr>
          <w:p>
            <w:pPr>
              <w:rPr>
                <w:rFonts w:ascii="Arial" w:hAnsi="Arial" w:cs="Arial"/>
                <w:color w:val="000000"/>
                <w:sz w:val="20"/>
                <w:szCs w:val="20"/>
              </w:rPr>
            </w:pPr>
          </w:p>
        </w:tc>
        <w:tc>
          <w:tcPr>
            <w:tcW w:w="1080" w:type="dxa"/>
            <w:tcBorders>
              <w:top w:val="nil"/>
              <w:left w:val="nil"/>
              <w:bottom w:val="nil"/>
              <w:right w:val="nil"/>
            </w:tcBorders>
            <w:shd w:val="clear" w:color="auto" w:fill="auto"/>
            <w:noWrap/>
            <w:tcMar>
              <w:top w:w="15" w:type="dxa"/>
              <w:left w:w="15" w:type="dxa"/>
              <w:right w:w="15" w:type="dxa"/>
            </w:tcMar>
            <w:vAlign w:val="bottom"/>
          </w:tcPr>
          <w:p>
            <w:pPr>
              <w:rPr>
                <w:rFonts w:ascii="Arial" w:hAnsi="Arial" w:cs="Arial"/>
                <w:color w:val="000000"/>
                <w:sz w:val="20"/>
                <w:szCs w:val="20"/>
              </w:rPr>
            </w:pPr>
          </w:p>
        </w:tc>
        <w:tc>
          <w:tcPr>
            <w:tcW w:w="885" w:type="dxa"/>
            <w:tcBorders>
              <w:top w:val="nil"/>
              <w:left w:val="nil"/>
              <w:bottom w:val="nil"/>
              <w:right w:val="nil"/>
            </w:tcBorders>
            <w:shd w:val="clear" w:color="auto" w:fill="auto"/>
            <w:noWrap/>
            <w:tcMar>
              <w:top w:w="15" w:type="dxa"/>
              <w:left w:w="15" w:type="dxa"/>
              <w:right w:w="15" w:type="dxa"/>
            </w:tcMar>
            <w:vAlign w:val="bottom"/>
          </w:tcPr>
          <w:p>
            <w:pPr>
              <w:jc w:val="center"/>
              <w:rPr>
                <w:rFonts w:ascii="宋体" w:hAnsi="宋体" w:eastAsia="宋体" w:cs="宋体"/>
                <w:color w:val="000000"/>
                <w:sz w:val="24"/>
                <w:szCs w:val="24"/>
              </w:rPr>
            </w:pPr>
          </w:p>
        </w:tc>
        <w:tc>
          <w:tcPr>
            <w:tcW w:w="630" w:type="dxa"/>
            <w:tcBorders>
              <w:top w:val="nil"/>
              <w:left w:val="nil"/>
              <w:bottom w:val="nil"/>
              <w:right w:val="nil"/>
            </w:tcBorders>
            <w:shd w:val="clear" w:color="auto" w:fill="auto"/>
            <w:noWrap/>
            <w:tcMar>
              <w:top w:w="15" w:type="dxa"/>
              <w:left w:w="15" w:type="dxa"/>
              <w:right w:w="15" w:type="dxa"/>
            </w:tcMar>
            <w:vAlign w:val="bottom"/>
          </w:tcPr>
          <w:p>
            <w:pPr>
              <w:rPr>
                <w:rFonts w:ascii="Arial" w:hAnsi="Arial" w:cs="Arial"/>
                <w:color w:val="000000"/>
                <w:sz w:val="20"/>
                <w:szCs w:val="20"/>
              </w:rPr>
            </w:pPr>
          </w:p>
        </w:tc>
        <w:tc>
          <w:tcPr>
            <w:tcW w:w="600" w:type="dxa"/>
            <w:tcBorders>
              <w:top w:val="nil"/>
              <w:left w:val="nil"/>
              <w:bottom w:val="nil"/>
              <w:right w:val="nil"/>
            </w:tcBorders>
            <w:shd w:val="clear" w:color="auto" w:fill="auto"/>
            <w:noWrap/>
            <w:tcMar>
              <w:top w:w="15" w:type="dxa"/>
              <w:left w:w="15" w:type="dxa"/>
              <w:right w:w="15" w:type="dxa"/>
            </w:tcMar>
            <w:vAlign w:val="bottom"/>
          </w:tcPr>
          <w:p>
            <w:pPr>
              <w:rPr>
                <w:rFonts w:ascii="Arial" w:hAnsi="Arial" w:cs="Arial"/>
                <w:color w:val="000000"/>
                <w:sz w:val="22"/>
              </w:rPr>
            </w:pPr>
          </w:p>
        </w:tc>
        <w:tc>
          <w:tcPr>
            <w:tcW w:w="1650" w:type="dxa"/>
            <w:gridSpan w:val="2"/>
            <w:tcBorders>
              <w:top w:val="nil"/>
              <w:left w:val="nil"/>
              <w:bottom w:val="nil"/>
              <w:right w:val="nil"/>
            </w:tcBorders>
            <w:shd w:val="clear" w:color="auto" w:fill="auto"/>
            <w:noWrap/>
            <w:tcMar>
              <w:top w:w="15" w:type="dxa"/>
              <w:left w:w="15" w:type="dxa"/>
              <w:right w:w="15" w:type="dxa"/>
            </w:tcMar>
            <w:vAlign w:val="bottom"/>
          </w:tcPr>
          <w:p>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rPr>
              <w:t>单位：万元</w:t>
            </w:r>
          </w:p>
        </w:tc>
      </w:tr>
      <w:tr>
        <w:tblPrEx>
          <w:tblCellMar>
            <w:top w:w="0" w:type="dxa"/>
            <w:left w:w="0" w:type="dxa"/>
            <w:bottom w:w="0" w:type="dxa"/>
            <w:right w:w="0" w:type="dxa"/>
          </w:tblCellMar>
        </w:tblPrEx>
        <w:trPr>
          <w:trHeight w:val="283" w:hRule="exact"/>
        </w:trPr>
        <w:tc>
          <w:tcPr>
            <w:tcW w:w="4167" w:type="dxa"/>
            <w:gridSpan w:val="4"/>
            <w:tcBorders>
              <w:top w:val="single" w:color="000000" w:sz="8"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项目</w:t>
            </w:r>
          </w:p>
        </w:tc>
        <w:tc>
          <w:tcPr>
            <w:tcW w:w="787" w:type="dxa"/>
            <w:vMerge w:val="restart"/>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本年收入合计</w:t>
            </w:r>
          </w:p>
        </w:tc>
        <w:tc>
          <w:tcPr>
            <w:tcW w:w="1080" w:type="dxa"/>
            <w:vMerge w:val="restar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财政拨款收入</w:t>
            </w:r>
          </w:p>
        </w:tc>
        <w:tc>
          <w:tcPr>
            <w:tcW w:w="885" w:type="dxa"/>
            <w:vMerge w:val="restart"/>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上级补助收入</w:t>
            </w:r>
          </w:p>
        </w:tc>
        <w:tc>
          <w:tcPr>
            <w:tcW w:w="630" w:type="dxa"/>
            <w:vMerge w:val="restart"/>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事业收入</w:t>
            </w:r>
          </w:p>
        </w:tc>
        <w:tc>
          <w:tcPr>
            <w:tcW w:w="600" w:type="dxa"/>
            <w:vMerge w:val="restart"/>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经营收入</w:t>
            </w:r>
          </w:p>
        </w:tc>
        <w:tc>
          <w:tcPr>
            <w:tcW w:w="810" w:type="dxa"/>
            <w:vMerge w:val="restart"/>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附属单位上缴收入</w:t>
            </w:r>
          </w:p>
        </w:tc>
        <w:tc>
          <w:tcPr>
            <w:tcW w:w="840" w:type="dxa"/>
            <w:vMerge w:val="restart"/>
            <w:tcBorders>
              <w:top w:val="single" w:color="000000" w:sz="8" w:space="0"/>
              <w:left w:val="nil"/>
              <w:bottom w:val="single" w:color="000000" w:sz="4" w:space="0"/>
              <w:right w:val="single" w:color="000000" w:sz="8"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其他收入</w:t>
            </w:r>
          </w:p>
        </w:tc>
      </w:tr>
      <w:tr>
        <w:tblPrEx>
          <w:tblCellMar>
            <w:top w:w="0" w:type="dxa"/>
            <w:left w:w="0" w:type="dxa"/>
            <w:bottom w:w="0" w:type="dxa"/>
            <w:right w:w="0" w:type="dxa"/>
          </w:tblCellMar>
        </w:tblPrEx>
        <w:trPr>
          <w:trHeight w:val="312" w:hRule="exact"/>
        </w:trPr>
        <w:tc>
          <w:tcPr>
            <w:tcW w:w="1684" w:type="dxa"/>
            <w:gridSpan w:val="3"/>
            <w:vMerge w:val="restar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支出功能分类科目编码</w:t>
            </w:r>
          </w:p>
        </w:tc>
        <w:tc>
          <w:tcPr>
            <w:tcW w:w="2483" w:type="dxa"/>
            <w:vMerge w:val="restar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科目名称</w:t>
            </w:r>
          </w:p>
        </w:tc>
        <w:tc>
          <w:tcPr>
            <w:tcW w:w="787"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885"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630"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600"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810"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840" w:type="dxa"/>
            <w:vMerge w:val="continue"/>
            <w:tcBorders>
              <w:top w:val="single" w:color="000000" w:sz="8" w:space="0"/>
              <w:left w:val="nil"/>
              <w:bottom w:val="single" w:color="000000" w:sz="4" w:space="0"/>
              <w:right w:val="single" w:color="000000" w:sz="8"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312" w:hRule="exact"/>
        </w:trPr>
        <w:tc>
          <w:tcPr>
            <w:tcW w:w="1684" w:type="dxa"/>
            <w:gridSpan w:val="3"/>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2483" w:type="dxa"/>
            <w:vMerge w:val="continue"/>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15"/>
                <w:szCs w:val="15"/>
              </w:rPr>
            </w:pPr>
          </w:p>
        </w:tc>
        <w:tc>
          <w:tcPr>
            <w:tcW w:w="787"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885"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630"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600"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810"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840" w:type="dxa"/>
            <w:vMerge w:val="continue"/>
            <w:tcBorders>
              <w:top w:val="single" w:color="000000" w:sz="8" w:space="0"/>
              <w:left w:val="nil"/>
              <w:bottom w:val="single" w:color="000000" w:sz="4" w:space="0"/>
              <w:right w:val="single" w:color="000000" w:sz="8"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312" w:hRule="exact"/>
        </w:trPr>
        <w:tc>
          <w:tcPr>
            <w:tcW w:w="1684" w:type="dxa"/>
            <w:gridSpan w:val="3"/>
            <w:vMerge w:val="continue"/>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2483" w:type="dxa"/>
            <w:vMerge w:val="continue"/>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15"/>
                <w:szCs w:val="15"/>
              </w:rPr>
            </w:pPr>
          </w:p>
        </w:tc>
        <w:tc>
          <w:tcPr>
            <w:tcW w:w="787"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885"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630"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600"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810" w:type="dxa"/>
            <w:vMerge w:val="continue"/>
            <w:tcBorders>
              <w:top w:val="single" w:color="000000" w:sz="8"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c>
          <w:tcPr>
            <w:tcW w:w="840" w:type="dxa"/>
            <w:vMerge w:val="continue"/>
            <w:tcBorders>
              <w:top w:val="single" w:color="000000" w:sz="8" w:space="0"/>
              <w:left w:val="nil"/>
              <w:bottom w:val="single" w:color="000000" w:sz="4" w:space="0"/>
              <w:right w:val="single" w:color="000000" w:sz="8" w:space="0"/>
            </w:tcBorders>
            <w:shd w:val="clear" w:color="auto" w:fill="auto"/>
            <w:tcMar>
              <w:top w:w="15" w:type="dxa"/>
              <w:left w:w="15" w:type="dxa"/>
              <w:right w:w="15" w:type="dxa"/>
            </w:tcMar>
            <w:vAlign w:val="center"/>
          </w:tcPr>
          <w:p>
            <w:pPr>
              <w:jc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919"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类</w:t>
            </w:r>
          </w:p>
        </w:tc>
        <w:tc>
          <w:tcPr>
            <w:tcW w:w="40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款</w:t>
            </w:r>
          </w:p>
        </w:tc>
        <w:tc>
          <w:tcPr>
            <w:tcW w:w="36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项</w:t>
            </w:r>
          </w:p>
        </w:tc>
        <w:tc>
          <w:tcPr>
            <w:tcW w:w="2483"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合计</w:t>
            </w:r>
          </w:p>
        </w:tc>
        <w:tc>
          <w:tcPr>
            <w:tcW w:w="7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2172.38</w:t>
            </w:r>
          </w:p>
        </w:tc>
        <w:tc>
          <w:tcPr>
            <w:tcW w:w="1080"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2172.38</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201</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一般公共服务支出</w:t>
            </w:r>
          </w:p>
        </w:tc>
        <w:tc>
          <w:tcPr>
            <w:tcW w:w="7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948.99</w:t>
            </w:r>
          </w:p>
        </w:tc>
        <w:tc>
          <w:tcPr>
            <w:tcW w:w="1080"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948.99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20103</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政府办公厅（室）及相关机构事务</w:t>
            </w:r>
          </w:p>
        </w:tc>
        <w:tc>
          <w:tcPr>
            <w:tcW w:w="7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top"/>
          </w:tcPr>
          <w:p>
            <w:pPr>
              <w:ind w:firstLine="150" w:firstLineChars="100"/>
              <w:rPr>
                <w:sz w:val="15"/>
                <w:szCs w:val="15"/>
              </w:rPr>
            </w:pPr>
            <w:r>
              <w:rPr>
                <w:rFonts w:hint="eastAsia" w:ascii="宋体" w:hAnsi="宋体" w:eastAsia="宋体" w:cs="宋体"/>
                <w:color w:val="000000"/>
                <w:kern w:val="0"/>
                <w:sz w:val="15"/>
                <w:szCs w:val="15"/>
              </w:rPr>
              <w:t>948.99</w:t>
            </w:r>
          </w:p>
        </w:tc>
        <w:tc>
          <w:tcPr>
            <w:tcW w:w="1080" w:type="dxa"/>
            <w:tcBorders>
              <w:top w:val="nil"/>
              <w:left w:val="nil"/>
              <w:bottom w:val="single" w:color="000000" w:sz="4" w:space="0"/>
              <w:right w:val="nil"/>
            </w:tcBorders>
            <w:shd w:val="clear" w:color="auto" w:fill="auto"/>
            <w:noWrap/>
            <w:tcMar>
              <w:top w:w="15" w:type="dxa"/>
              <w:left w:w="15" w:type="dxa"/>
              <w:right w:w="15" w:type="dxa"/>
            </w:tcMar>
            <w:vAlign w:val="top"/>
          </w:tcPr>
          <w:p>
            <w:pPr>
              <w:ind w:firstLine="150" w:firstLineChars="100"/>
              <w:rPr>
                <w:sz w:val="15"/>
                <w:szCs w:val="15"/>
              </w:rPr>
            </w:pPr>
            <w:r>
              <w:rPr>
                <w:rFonts w:hint="eastAsia" w:ascii="宋体" w:hAnsi="宋体" w:eastAsia="宋体" w:cs="宋体"/>
                <w:color w:val="000000"/>
                <w:kern w:val="0"/>
                <w:sz w:val="15"/>
                <w:szCs w:val="15"/>
              </w:rPr>
              <w:t>948.99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2010301</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 xml:space="preserve">  行政运行</w:t>
            </w:r>
          </w:p>
        </w:tc>
        <w:tc>
          <w:tcPr>
            <w:tcW w:w="7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top"/>
          </w:tcPr>
          <w:p>
            <w:pPr>
              <w:ind w:firstLine="150" w:firstLineChars="100"/>
              <w:rPr>
                <w:sz w:val="15"/>
                <w:szCs w:val="15"/>
              </w:rPr>
            </w:pPr>
            <w:r>
              <w:rPr>
                <w:rFonts w:hint="eastAsia" w:ascii="宋体" w:hAnsi="宋体" w:eastAsia="宋体" w:cs="宋体"/>
                <w:color w:val="000000"/>
                <w:kern w:val="0"/>
                <w:sz w:val="15"/>
                <w:szCs w:val="15"/>
              </w:rPr>
              <w:t>948.99</w:t>
            </w:r>
          </w:p>
        </w:tc>
        <w:tc>
          <w:tcPr>
            <w:tcW w:w="1080" w:type="dxa"/>
            <w:tcBorders>
              <w:top w:val="nil"/>
              <w:left w:val="nil"/>
              <w:bottom w:val="single" w:color="000000" w:sz="4" w:space="0"/>
              <w:right w:val="nil"/>
            </w:tcBorders>
            <w:shd w:val="clear" w:color="auto" w:fill="auto"/>
            <w:noWrap/>
            <w:tcMar>
              <w:top w:w="15" w:type="dxa"/>
              <w:left w:w="15" w:type="dxa"/>
              <w:right w:w="15" w:type="dxa"/>
            </w:tcMar>
            <w:vAlign w:val="top"/>
          </w:tcPr>
          <w:p>
            <w:pPr>
              <w:ind w:firstLine="150" w:firstLineChars="100"/>
              <w:rPr>
                <w:sz w:val="15"/>
                <w:szCs w:val="15"/>
              </w:rPr>
            </w:pPr>
            <w:r>
              <w:rPr>
                <w:rFonts w:hint="eastAsia" w:ascii="宋体" w:hAnsi="宋体" w:eastAsia="宋体" w:cs="宋体"/>
                <w:color w:val="000000"/>
                <w:kern w:val="0"/>
                <w:sz w:val="15"/>
                <w:szCs w:val="15"/>
              </w:rPr>
              <w:t>948.99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208</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社会保障和就业支出</w:t>
            </w:r>
          </w:p>
        </w:tc>
        <w:tc>
          <w:tcPr>
            <w:tcW w:w="7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59.88</w:t>
            </w:r>
          </w:p>
        </w:tc>
        <w:tc>
          <w:tcPr>
            <w:tcW w:w="1080"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59.88</w:t>
            </w:r>
          </w:p>
        </w:tc>
        <w:tc>
          <w:tcPr>
            <w:tcW w:w="885"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20802</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民政管理事务</w:t>
            </w:r>
          </w:p>
        </w:tc>
        <w:tc>
          <w:tcPr>
            <w:tcW w:w="787"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59.58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59.58</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2080208</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xml:space="preserve"> 基层政权和社区设</w:t>
            </w:r>
          </w:p>
        </w:tc>
        <w:tc>
          <w:tcPr>
            <w:tcW w:w="787"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59.58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59.58</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20807</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就业补助</w:t>
            </w:r>
          </w:p>
        </w:tc>
        <w:tc>
          <w:tcPr>
            <w:tcW w:w="787"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0.30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0.30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2080799</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 xml:space="preserve">  其他就业补助支出</w:t>
            </w:r>
          </w:p>
        </w:tc>
        <w:tc>
          <w:tcPr>
            <w:tcW w:w="787"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0.30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0.30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210</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卫生健康支出</w:t>
            </w:r>
          </w:p>
        </w:tc>
        <w:tc>
          <w:tcPr>
            <w:tcW w:w="787"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35.04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35.04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21004</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公共卫生</w:t>
            </w:r>
          </w:p>
        </w:tc>
        <w:tc>
          <w:tcPr>
            <w:tcW w:w="787"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30.00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2100410</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xml:space="preserve">  突发公共卫生事件应急处理</w:t>
            </w:r>
          </w:p>
        </w:tc>
        <w:tc>
          <w:tcPr>
            <w:tcW w:w="787"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30.00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21007</w:t>
            </w:r>
          </w:p>
        </w:tc>
        <w:tc>
          <w:tcPr>
            <w:tcW w:w="24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计划生育事务</w:t>
            </w:r>
          </w:p>
        </w:tc>
        <w:tc>
          <w:tcPr>
            <w:tcW w:w="787"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5.04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5.04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2100799</w:t>
            </w:r>
          </w:p>
        </w:tc>
        <w:tc>
          <w:tcPr>
            <w:tcW w:w="248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 xml:space="preserve"> 其他计划生育事支出</w:t>
            </w:r>
          </w:p>
        </w:tc>
        <w:tc>
          <w:tcPr>
            <w:tcW w:w="787"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5.04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5.04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211</w:t>
            </w:r>
          </w:p>
        </w:tc>
        <w:tc>
          <w:tcPr>
            <w:tcW w:w="248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节能环保支出</w:t>
            </w:r>
          </w:p>
        </w:tc>
        <w:tc>
          <w:tcPr>
            <w:tcW w:w="787"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6.42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6.42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21103</w:t>
            </w:r>
          </w:p>
        </w:tc>
        <w:tc>
          <w:tcPr>
            <w:tcW w:w="248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污染防治</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6.42</w:t>
            </w:r>
          </w:p>
        </w:tc>
        <w:tc>
          <w:tcPr>
            <w:tcW w:w="108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6.42</w:t>
            </w:r>
          </w:p>
        </w:tc>
        <w:tc>
          <w:tcPr>
            <w:tcW w:w="8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2110302</w:t>
            </w:r>
          </w:p>
        </w:tc>
        <w:tc>
          <w:tcPr>
            <w:tcW w:w="248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 xml:space="preserve">  水体</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6.42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6.42</w:t>
            </w:r>
          </w:p>
        </w:tc>
        <w:tc>
          <w:tcPr>
            <w:tcW w:w="8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212</w:t>
            </w:r>
          </w:p>
        </w:tc>
        <w:tc>
          <w:tcPr>
            <w:tcW w:w="248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城乡社区支出</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626.00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626.00</w:t>
            </w:r>
          </w:p>
        </w:tc>
        <w:tc>
          <w:tcPr>
            <w:tcW w:w="8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21202</w:t>
            </w:r>
          </w:p>
        </w:tc>
        <w:tc>
          <w:tcPr>
            <w:tcW w:w="248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城乡社区规划与管理</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411.00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411.00</w:t>
            </w:r>
          </w:p>
        </w:tc>
        <w:tc>
          <w:tcPr>
            <w:tcW w:w="8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2120201</w:t>
            </w:r>
          </w:p>
        </w:tc>
        <w:tc>
          <w:tcPr>
            <w:tcW w:w="248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xml:space="preserve">  城乡社区规划与管理</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411.00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411.00</w:t>
            </w:r>
          </w:p>
        </w:tc>
        <w:tc>
          <w:tcPr>
            <w:tcW w:w="8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21203</w:t>
            </w:r>
          </w:p>
        </w:tc>
        <w:tc>
          <w:tcPr>
            <w:tcW w:w="248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城乡社区公共设施</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200.00</w:t>
            </w:r>
          </w:p>
        </w:tc>
        <w:tc>
          <w:tcPr>
            <w:tcW w:w="8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2120303</w:t>
            </w:r>
          </w:p>
        </w:tc>
        <w:tc>
          <w:tcPr>
            <w:tcW w:w="248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 xml:space="preserve"> 小城镇基础设施设</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200.00</w:t>
            </w:r>
          </w:p>
        </w:tc>
        <w:tc>
          <w:tcPr>
            <w:tcW w:w="8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21299</w:t>
            </w:r>
          </w:p>
        </w:tc>
        <w:tc>
          <w:tcPr>
            <w:tcW w:w="248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其他城乡社区支出</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15.00</w:t>
            </w:r>
          </w:p>
        </w:tc>
        <w:tc>
          <w:tcPr>
            <w:tcW w:w="8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2129901</w:t>
            </w:r>
          </w:p>
        </w:tc>
        <w:tc>
          <w:tcPr>
            <w:tcW w:w="248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xml:space="preserve">  其他城乡社区支出</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15.00</w:t>
            </w:r>
          </w:p>
        </w:tc>
        <w:tc>
          <w:tcPr>
            <w:tcW w:w="8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40"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213</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农林水支出</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481.05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481.05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21301</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农业农村</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30.00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30.00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2130199</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 xml:space="preserve">  其他农业农村支出</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30.00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30.00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21305</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扶贫</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115.00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115.00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2130504</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xml:space="preserve">  农村基础设施建设</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15.00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2130599</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 xml:space="preserve">  其他扶贫支出</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100.00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100.00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21307</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农村综合改革</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336.05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336.05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2130705</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 xml:space="preserve">  对村民委员会和村党支部的补助</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286.05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286.05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textAlignment w:val="center"/>
              <w:rPr>
                <w:rFonts w:ascii="宋体" w:hAnsi="宋体" w:eastAsia="宋体" w:cs="宋体"/>
                <w:color w:val="00000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2130706</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 xml:space="preserve">  对村集体经济组织的补助</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50.00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214</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交通运输支出</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15.00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15.00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21401</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公路水路运输</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15.00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15.00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r>
        <w:tblPrEx>
          <w:tblCellMar>
            <w:top w:w="0" w:type="dxa"/>
            <w:left w:w="0" w:type="dxa"/>
            <w:bottom w:w="0" w:type="dxa"/>
            <w:right w:w="0" w:type="dxa"/>
          </w:tblCellMar>
        </w:tblPrEx>
        <w:trPr>
          <w:trHeight w:val="283" w:hRule="exact"/>
        </w:trPr>
        <w:tc>
          <w:tcPr>
            <w:tcW w:w="1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2140106</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 xml:space="preserve">  公路养护</w:t>
            </w: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15.00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r>
              <w:rPr>
                <w:rFonts w:hint="eastAsia" w:ascii="宋体" w:hAnsi="宋体" w:eastAsia="宋体" w:cs="宋体"/>
                <w:color w:val="000000"/>
                <w:kern w:val="0"/>
                <w:sz w:val="15"/>
                <w:szCs w:val="15"/>
              </w:rPr>
              <w:t>15.00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c>
          <w:tcPr>
            <w:tcW w:w="840"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5"/>
                <w:szCs w:val="15"/>
              </w:rPr>
            </w:pPr>
          </w:p>
        </w:tc>
      </w:tr>
    </w:tbl>
    <w:p>
      <w:pPr>
        <w:pStyle w:val="7"/>
        <w:rPr>
          <w:rFonts w:ascii="Times New Roman" w:hAnsi="Times New Roman" w:cs="Times New Roman" w:eastAsiaTheme="minorEastAsia"/>
          <w:color w:val="FF0000"/>
        </w:rPr>
      </w:pPr>
      <w:r>
        <w:rPr>
          <w:rFonts w:hint="eastAsia" w:ascii="Times New Roman" w:hAnsi="Times New Roman" w:cs="Times New Roman" w:eastAsiaTheme="minorEastAsia"/>
          <w:color w:val="FF0000"/>
        </w:rPr>
        <w:t>注：</w:t>
      </w:r>
      <w:r>
        <w:rPr>
          <w:rFonts w:ascii="Times New Roman" w:hAnsi="Times New Roman" w:cs="Times New Roman" w:eastAsiaTheme="minorEastAsia"/>
          <w:color w:val="FF0000"/>
        </w:rPr>
        <w:t>本表金额转换为万元时，因四舍五入可能存在尾</w:t>
      </w:r>
      <w:r>
        <w:rPr>
          <w:rFonts w:hint="eastAsia" w:ascii="Times New Roman" w:hAnsi="Times New Roman" w:cs="Times New Roman" w:eastAsiaTheme="minorEastAsia"/>
          <w:color w:val="FF0000"/>
        </w:rPr>
        <w:t>数</w:t>
      </w:r>
      <w:r>
        <w:rPr>
          <w:rFonts w:ascii="Times New Roman" w:hAnsi="Times New Roman" w:cs="Times New Roman" w:eastAsiaTheme="minorEastAsia"/>
          <w:color w:val="FF0000"/>
        </w:rPr>
        <w:t>差</w:t>
      </w:r>
      <w:r>
        <w:rPr>
          <w:rFonts w:hint="eastAsia" w:ascii="Times New Roman" w:hAnsi="Times New Roman" w:cs="Times New Roman" w:eastAsiaTheme="minorEastAsia"/>
          <w:color w:val="FF0000"/>
        </w:rPr>
        <w:t>异</w:t>
      </w:r>
    </w:p>
    <w:p>
      <w:pPr>
        <w:pStyle w:val="8"/>
        <w:numPr>
          <w:ilvl w:val="0"/>
          <w:numId w:val="1"/>
        </w:numPr>
        <w:ind w:firstLineChars="0"/>
        <w:jc w:val="left"/>
        <w:rPr>
          <w:rFonts w:ascii="黑体" w:hAnsi="仿宋" w:eastAsia="黑体"/>
          <w:sz w:val="32"/>
          <w:szCs w:val="32"/>
        </w:rPr>
      </w:pPr>
      <w:r>
        <w:rPr>
          <w:rFonts w:hint="eastAsia" w:ascii="黑体" w:hAnsi="仿宋" w:eastAsia="黑体"/>
          <w:sz w:val="32"/>
          <w:szCs w:val="32"/>
        </w:rPr>
        <w:t>支出决算表</w:t>
      </w:r>
    </w:p>
    <w:tbl>
      <w:tblPr>
        <w:tblStyle w:val="5"/>
        <w:tblW w:w="9960" w:type="dxa"/>
        <w:tblInd w:w="-170" w:type="dxa"/>
        <w:tblLayout w:type="fixed"/>
        <w:tblCellMar>
          <w:top w:w="0" w:type="dxa"/>
          <w:left w:w="108" w:type="dxa"/>
          <w:bottom w:w="0" w:type="dxa"/>
          <w:right w:w="108" w:type="dxa"/>
        </w:tblCellMar>
      </w:tblPr>
      <w:tblGrid>
        <w:gridCol w:w="336"/>
        <w:gridCol w:w="396"/>
        <w:gridCol w:w="408"/>
        <w:gridCol w:w="1744"/>
        <w:gridCol w:w="1940"/>
        <w:gridCol w:w="1020"/>
        <w:gridCol w:w="1044"/>
        <w:gridCol w:w="1008"/>
        <w:gridCol w:w="648"/>
        <w:gridCol w:w="708"/>
        <w:gridCol w:w="212"/>
        <w:gridCol w:w="236"/>
        <w:gridCol w:w="260"/>
      </w:tblGrid>
      <w:tr>
        <w:tblPrEx>
          <w:tblCellMar>
            <w:top w:w="0" w:type="dxa"/>
            <w:left w:w="108" w:type="dxa"/>
            <w:bottom w:w="0" w:type="dxa"/>
            <w:right w:w="108" w:type="dxa"/>
          </w:tblCellMar>
        </w:tblPrEx>
        <w:trPr>
          <w:trHeight w:val="495" w:hRule="atLeast"/>
        </w:trPr>
        <w:tc>
          <w:tcPr>
            <w:tcW w:w="9960" w:type="dxa"/>
            <w:gridSpan w:val="13"/>
            <w:tcBorders>
              <w:top w:val="nil"/>
              <w:left w:val="nil"/>
              <w:bottom w:val="nil"/>
              <w:right w:val="nil"/>
            </w:tcBorders>
            <w:shd w:val="clear" w:color="auto" w:fill="auto"/>
            <w:noWrap/>
            <w:vAlign w:val="bottom"/>
          </w:tcPr>
          <w:p>
            <w:pPr>
              <w:widowControl/>
              <w:spacing w:line="240" w:lineRule="auto"/>
              <w:jc w:val="center"/>
              <w:rPr>
                <w:rFonts w:ascii="宋体" w:hAnsi="宋体" w:eastAsia="宋体" w:cs="Arial"/>
                <w:color w:val="000000"/>
                <w:kern w:val="0"/>
                <w:sz w:val="44"/>
                <w:szCs w:val="44"/>
              </w:rPr>
            </w:pPr>
            <w:r>
              <w:rPr>
                <w:rFonts w:hint="eastAsia" w:ascii="黑体" w:hAnsi="Arial" w:eastAsia="黑体" w:cs="Arial"/>
                <w:color w:val="000000"/>
                <w:kern w:val="0"/>
                <w:sz w:val="36"/>
                <w:szCs w:val="36"/>
              </w:rPr>
              <w:t>支出决算表</w:t>
            </w:r>
          </w:p>
        </w:tc>
      </w:tr>
      <w:tr>
        <w:tblPrEx>
          <w:tblCellMar>
            <w:top w:w="0" w:type="dxa"/>
            <w:left w:w="108" w:type="dxa"/>
            <w:bottom w:w="0" w:type="dxa"/>
            <w:right w:w="108" w:type="dxa"/>
          </w:tblCellMar>
        </w:tblPrEx>
        <w:trPr>
          <w:gridAfter w:val="1"/>
          <w:wAfter w:w="260" w:type="dxa"/>
          <w:trHeight w:val="300" w:hRule="atLeast"/>
        </w:trPr>
        <w:tc>
          <w:tcPr>
            <w:tcW w:w="336"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396"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408"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744"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2960" w:type="dxa"/>
            <w:gridSpan w:val="2"/>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044"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008"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648"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920" w:type="dxa"/>
            <w:gridSpan w:val="2"/>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236" w:type="dxa"/>
            <w:tcBorders>
              <w:top w:val="nil"/>
              <w:left w:val="nil"/>
              <w:bottom w:val="nil"/>
              <w:right w:val="nil"/>
            </w:tcBorders>
            <w:shd w:val="clear" w:color="auto" w:fill="auto"/>
            <w:noWrap/>
            <w:vAlign w:val="bottom"/>
          </w:tcPr>
          <w:p>
            <w:pPr>
              <w:widowControl/>
              <w:spacing w:line="240" w:lineRule="auto"/>
              <w:jc w:val="right"/>
              <w:rPr>
                <w:rFonts w:ascii="宋体" w:hAnsi="宋体" w:eastAsia="宋体" w:cs="Arial"/>
                <w:color w:val="000000"/>
                <w:kern w:val="0"/>
                <w:sz w:val="24"/>
                <w:szCs w:val="24"/>
              </w:rPr>
            </w:pPr>
          </w:p>
        </w:tc>
      </w:tr>
      <w:tr>
        <w:tblPrEx>
          <w:tblCellMar>
            <w:top w:w="0" w:type="dxa"/>
            <w:left w:w="108" w:type="dxa"/>
            <w:bottom w:w="0" w:type="dxa"/>
            <w:right w:w="108" w:type="dxa"/>
          </w:tblCellMar>
        </w:tblPrEx>
        <w:trPr>
          <w:trHeight w:val="315" w:hRule="atLeast"/>
        </w:trPr>
        <w:tc>
          <w:tcPr>
            <w:tcW w:w="6888" w:type="dxa"/>
            <w:gridSpan w:val="7"/>
            <w:tcBorders>
              <w:top w:val="nil"/>
              <w:left w:val="nil"/>
              <w:bottom w:val="nil"/>
              <w:right w:val="nil"/>
            </w:tcBorders>
            <w:shd w:val="clear" w:color="auto" w:fill="auto"/>
            <w:noWrap/>
            <w:vAlign w:val="bottom"/>
          </w:tcPr>
          <w:p>
            <w:pPr>
              <w:widowControl/>
              <w:spacing w:line="240" w:lineRule="auto"/>
              <w:jc w:val="left"/>
              <w:rPr>
                <w:rFonts w:ascii="宋体" w:hAnsi="宋体" w:eastAsia="宋体" w:cs="Arial"/>
                <w:color w:val="000000"/>
                <w:kern w:val="0"/>
                <w:sz w:val="24"/>
                <w:szCs w:val="24"/>
              </w:rPr>
            </w:pPr>
            <w:r>
              <w:rPr>
                <w:rFonts w:hint="eastAsia" w:ascii="宋体" w:hAnsi="宋体" w:eastAsia="宋体" w:cs="Arial"/>
                <w:color w:val="000000"/>
                <w:kern w:val="0"/>
                <w:sz w:val="24"/>
                <w:szCs w:val="24"/>
              </w:rPr>
              <w:t>编制单位：</w:t>
            </w:r>
            <w:r>
              <w:rPr>
                <w:rFonts w:hint="eastAsia" w:ascii="宋体" w:hAnsi="宋体" w:eastAsia="宋体" w:cs="Arial"/>
                <w:color w:val="000000"/>
                <w:kern w:val="0"/>
                <w:sz w:val="22"/>
              </w:rPr>
              <w:t>连城县朋口镇人民政府</w:t>
            </w:r>
          </w:p>
        </w:tc>
        <w:tc>
          <w:tcPr>
            <w:tcW w:w="1008"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2064" w:type="dxa"/>
            <w:gridSpan w:val="5"/>
            <w:tcBorders>
              <w:top w:val="nil"/>
              <w:left w:val="nil"/>
              <w:bottom w:val="single" w:color="auto" w:sz="4" w:space="0"/>
              <w:right w:val="nil"/>
            </w:tcBorders>
            <w:shd w:val="clear" w:color="auto" w:fill="auto"/>
            <w:noWrap/>
            <w:vAlign w:val="bottom"/>
          </w:tcPr>
          <w:p>
            <w:pPr>
              <w:widowControl/>
              <w:spacing w:line="240" w:lineRule="auto"/>
              <w:jc w:val="right"/>
              <w:rPr>
                <w:rFonts w:ascii="宋体" w:hAnsi="宋体" w:eastAsia="宋体" w:cs="Arial"/>
                <w:color w:val="000000"/>
                <w:kern w:val="0"/>
                <w:sz w:val="24"/>
                <w:szCs w:val="24"/>
              </w:rPr>
            </w:pPr>
            <w:r>
              <w:rPr>
                <w:rFonts w:hint="eastAsia" w:ascii="宋体" w:hAnsi="宋体" w:eastAsia="宋体" w:cs="Arial"/>
                <w:color w:val="000000"/>
                <w:kern w:val="0"/>
                <w:sz w:val="24"/>
                <w:szCs w:val="24"/>
              </w:rPr>
              <w:t>金额单位：万元</w:t>
            </w:r>
          </w:p>
        </w:tc>
      </w:tr>
      <w:tr>
        <w:tblPrEx>
          <w:tblCellMar>
            <w:top w:w="0" w:type="dxa"/>
            <w:left w:w="108" w:type="dxa"/>
            <w:bottom w:w="0" w:type="dxa"/>
            <w:right w:w="108" w:type="dxa"/>
          </w:tblCellMar>
        </w:tblPrEx>
        <w:trPr>
          <w:trHeight w:val="283" w:hRule="exact"/>
        </w:trPr>
        <w:tc>
          <w:tcPr>
            <w:tcW w:w="4824" w:type="dxa"/>
            <w:gridSpan w:val="5"/>
            <w:tcBorders>
              <w:top w:val="single" w:color="000000" w:sz="8" w:space="0"/>
              <w:left w:val="single" w:color="000000" w:sz="8" w:space="0"/>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项目</w:t>
            </w:r>
          </w:p>
        </w:tc>
        <w:tc>
          <w:tcPr>
            <w:tcW w:w="1020" w:type="dxa"/>
            <w:vMerge w:val="restart"/>
            <w:tcBorders>
              <w:top w:val="single" w:color="000000" w:sz="8" w:space="0"/>
              <w:left w:val="nil"/>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本年支出合计</w:t>
            </w:r>
          </w:p>
        </w:tc>
        <w:tc>
          <w:tcPr>
            <w:tcW w:w="1044" w:type="dxa"/>
            <w:vMerge w:val="restart"/>
            <w:tcBorders>
              <w:top w:val="single" w:color="000000" w:sz="8" w:space="0"/>
              <w:left w:val="nil"/>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基本支出</w:t>
            </w:r>
          </w:p>
        </w:tc>
        <w:tc>
          <w:tcPr>
            <w:tcW w:w="1008" w:type="dxa"/>
            <w:vMerge w:val="restart"/>
            <w:tcBorders>
              <w:top w:val="single" w:color="000000" w:sz="8" w:space="0"/>
              <w:left w:val="nil"/>
              <w:bottom w:val="single" w:color="000000"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项目支出</w:t>
            </w:r>
          </w:p>
        </w:tc>
        <w:tc>
          <w:tcPr>
            <w:tcW w:w="64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上缴上级支出</w:t>
            </w:r>
          </w:p>
        </w:tc>
        <w:tc>
          <w:tcPr>
            <w:tcW w:w="7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经营支出</w:t>
            </w:r>
          </w:p>
        </w:tc>
        <w:tc>
          <w:tcPr>
            <w:tcW w:w="708"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对附属单位补助支出</w:t>
            </w:r>
          </w:p>
        </w:tc>
      </w:tr>
      <w:tr>
        <w:tblPrEx>
          <w:tblCellMar>
            <w:top w:w="0" w:type="dxa"/>
            <w:left w:w="108" w:type="dxa"/>
            <w:bottom w:w="0" w:type="dxa"/>
            <w:right w:w="108" w:type="dxa"/>
          </w:tblCellMar>
        </w:tblPrEx>
        <w:trPr>
          <w:trHeight w:val="312" w:hRule="exact"/>
        </w:trPr>
        <w:tc>
          <w:tcPr>
            <w:tcW w:w="1140" w:type="dxa"/>
            <w:gridSpan w:val="3"/>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支出功能分类科目编码</w:t>
            </w:r>
          </w:p>
        </w:tc>
        <w:tc>
          <w:tcPr>
            <w:tcW w:w="3684" w:type="dxa"/>
            <w:gridSpan w:val="2"/>
            <w:vMerge w:val="restart"/>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科目名称</w:t>
            </w:r>
          </w:p>
        </w:tc>
        <w:tc>
          <w:tcPr>
            <w:tcW w:w="1020"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18"/>
                <w:szCs w:val="18"/>
              </w:rPr>
            </w:pPr>
          </w:p>
        </w:tc>
        <w:tc>
          <w:tcPr>
            <w:tcW w:w="1044"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18"/>
                <w:szCs w:val="18"/>
              </w:rPr>
            </w:pPr>
          </w:p>
        </w:tc>
        <w:tc>
          <w:tcPr>
            <w:tcW w:w="1008" w:type="dxa"/>
            <w:vMerge w:val="continue"/>
            <w:tcBorders>
              <w:top w:val="single" w:color="000000" w:sz="8" w:space="0"/>
              <w:left w:val="nil"/>
              <w:bottom w:val="single" w:color="000000"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6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70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312" w:hRule="exact"/>
        </w:trPr>
        <w:tc>
          <w:tcPr>
            <w:tcW w:w="1140" w:type="dxa"/>
            <w:gridSpan w:val="3"/>
            <w:vMerge w:val="continue"/>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18"/>
                <w:szCs w:val="18"/>
              </w:rPr>
            </w:pPr>
          </w:p>
        </w:tc>
        <w:tc>
          <w:tcPr>
            <w:tcW w:w="3684" w:type="dxa"/>
            <w:gridSpan w:val="2"/>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18"/>
                <w:szCs w:val="18"/>
              </w:rPr>
            </w:pPr>
          </w:p>
        </w:tc>
        <w:tc>
          <w:tcPr>
            <w:tcW w:w="1020"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18"/>
                <w:szCs w:val="18"/>
              </w:rPr>
            </w:pPr>
          </w:p>
        </w:tc>
        <w:tc>
          <w:tcPr>
            <w:tcW w:w="1044"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18"/>
                <w:szCs w:val="18"/>
              </w:rPr>
            </w:pPr>
          </w:p>
        </w:tc>
        <w:tc>
          <w:tcPr>
            <w:tcW w:w="1008" w:type="dxa"/>
            <w:vMerge w:val="continue"/>
            <w:tcBorders>
              <w:top w:val="single" w:color="000000" w:sz="8" w:space="0"/>
              <w:left w:val="nil"/>
              <w:bottom w:val="single" w:color="000000"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6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70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312" w:hRule="exact"/>
        </w:trPr>
        <w:tc>
          <w:tcPr>
            <w:tcW w:w="1140" w:type="dxa"/>
            <w:gridSpan w:val="3"/>
            <w:vMerge w:val="continue"/>
            <w:tcBorders>
              <w:top w:val="single" w:color="000000" w:sz="4" w:space="0"/>
              <w:left w:val="single" w:color="000000" w:sz="8" w:space="0"/>
              <w:bottom w:val="single" w:color="auto" w:sz="4" w:space="0"/>
              <w:right w:val="single" w:color="000000" w:sz="4" w:space="0"/>
            </w:tcBorders>
            <w:vAlign w:val="center"/>
          </w:tcPr>
          <w:p>
            <w:pPr>
              <w:widowControl/>
              <w:spacing w:line="240" w:lineRule="auto"/>
              <w:jc w:val="left"/>
              <w:rPr>
                <w:rFonts w:ascii="宋体" w:hAnsi="宋体" w:eastAsia="宋体" w:cs="Arial"/>
                <w:color w:val="000000"/>
                <w:kern w:val="0"/>
                <w:sz w:val="18"/>
                <w:szCs w:val="18"/>
              </w:rPr>
            </w:pPr>
          </w:p>
        </w:tc>
        <w:tc>
          <w:tcPr>
            <w:tcW w:w="3684" w:type="dxa"/>
            <w:gridSpan w:val="2"/>
            <w:vMerge w:val="continue"/>
            <w:tcBorders>
              <w:top w:val="nil"/>
              <w:left w:val="nil"/>
              <w:bottom w:val="single" w:color="auto" w:sz="4" w:space="0"/>
              <w:right w:val="single" w:color="000000" w:sz="4" w:space="0"/>
            </w:tcBorders>
            <w:vAlign w:val="center"/>
          </w:tcPr>
          <w:p>
            <w:pPr>
              <w:widowControl/>
              <w:spacing w:line="240" w:lineRule="auto"/>
              <w:jc w:val="left"/>
              <w:rPr>
                <w:rFonts w:ascii="宋体" w:hAnsi="宋体" w:eastAsia="宋体" w:cs="Arial"/>
                <w:color w:val="000000"/>
                <w:kern w:val="0"/>
                <w:sz w:val="18"/>
                <w:szCs w:val="18"/>
              </w:rPr>
            </w:pPr>
          </w:p>
        </w:tc>
        <w:tc>
          <w:tcPr>
            <w:tcW w:w="1020" w:type="dxa"/>
            <w:vMerge w:val="continue"/>
            <w:tcBorders>
              <w:top w:val="single" w:color="000000" w:sz="8" w:space="0"/>
              <w:left w:val="nil"/>
              <w:bottom w:val="single" w:color="auto" w:sz="4" w:space="0"/>
              <w:right w:val="single" w:color="000000" w:sz="4" w:space="0"/>
            </w:tcBorders>
            <w:vAlign w:val="center"/>
          </w:tcPr>
          <w:p>
            <w:pPr>
              <w:widowControl/>
              <w:spacing w:line="240" w:lineRule="auto"/>
              <w:jc w:val="left"/>
              <w:rPr>
                <w:rFonts w:ascii="宋体" w:hAnsi="宋体" w:eastAsia="宋体" w:cs="Arial"/>
                <w:color w:val="000000"/>
                <w:kern w:val="0"/>
                <w:sz w:val="18"/>
                <w:szCs w:val="18"/>
              </w:rPr>
            </w:pPr>
          </w:p>
        </w:tc>
        <w:tc>
          <w:tcPr>
            <w:tcW w:w="1044" w:type="dxa"/>
            <w:vMerge w:val="continue"/>
            <w:tcBorders>
              <w:top w:val="single" w:color="000000" w:sz="8" w:space="0"/>
              <w:left w:val="nil"/>
              <w:bottom w:val="single" w:color="auto" w:sz="4" w:space="0"/>
              <w:right w:val="single" w:color="000000" w:sz="4" w:space="0"/>
            </w:tcBorders>
            <w:vAlign w:val="center"/>
          </w:tcPr>
          <w:p>
            <w:pPr>
              <w:widowControl/>
              <w:spacing w:line="240" w:lineRule="auto"/>
              <w:jc w:val="left"/>
              <w:rPr>
                <w:rFonts w:ascii="宋体" w:hAnsi="宋体" w:eastAsia="宋体" w:cs="Arial"/>
                <w:color w:val="000000"/>
                <w:kern w:val="0"/>
                <w:sz w:val="18"/>
                <w:szCs w:val="18"/>
              </w:rPr>
            </w:pPr>
          </w:p>
        </w:tc>
        <w:tc>
          <w:tcPr>
            <w:tcW w:w="1008" w:type="dxa"/>
            <w:vMerge w:val="continue"/>
            <w:tcBorders>
              <w:top w:val="single" w:color="000000" w:sz="8" w:space="0"/>
              <w:left w:val="nil"/>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6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70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33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类</w:t>
            </w:r>
          </w:p>
        </w:tc>
        <w:tc>
          <w:tcPr>
            <w:tcW w:w="3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款</w:t>
            </w:r>
          </w:p>
        </w:tc>
        <w:tc>
          <w:tcPr>
            <w:tcW w:w="4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项</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合计</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2704.75</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1430.51</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1274.24</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right="110"/>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right="330"/>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right="110"/>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201</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一般公共服务支出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948.99</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948.99</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right="110"/>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right="440"/>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right="440"/>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right="440"/>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20103</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政府办公厅（室）及相关机构事务</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948.99</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948.99</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right="440"/>
              <w:jc w:val="center"/>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right="110"/>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right="220"/>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2010301</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 xml:space="preserve"> 行政运行</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948.99</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948.99</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208</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社会保障和就业支出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80.23</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80.23</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20802</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民政管理事务</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80.23</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80.23</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2080208</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基层政权和社区建设</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80.23</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80.23</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210</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卫生健康支出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35.04</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35.04</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21004</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公共卫生</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30.00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30.00</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2100410</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突发公共卫生事件应急处理</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30.00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30.00</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21007</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计划生育事务</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5.04</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5.04</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2100799</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 xml:space="preserve">  其他计划生育事务支出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5.04</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5.04</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211</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节能环保支出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603.24</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603.24</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21103</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污染防治</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603.24</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603.24</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2110302</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 xml:space="preserve">  水体</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603.24</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603.24</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right="110"/>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212</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城乡社区支出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476.00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476.00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21203</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城乡社区公共设施</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461.00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461.03</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2120303</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 xml:space="preserve">  小城镇基础设施建设</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461.00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461.00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21299</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其他城乡社区支出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2129901</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其他城乡社区支出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213</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农林水支出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541.25</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361.25</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180.00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21301</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农业农村</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30.00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30.00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2130199</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 xml:space="preserve">  其他农业农村支出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30.00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30.00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21305</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扶贫</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115.00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115.00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2130504</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农村基础设施建设</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2130599</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 xml:space="preserve">  其他扶贫支出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100.00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100.00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21307</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农村综合改革</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396.25</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361.25</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35.00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2130705</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 xml:space="preserve">  对村民委员会和村党支部的补助</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361.25</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361.25</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2130706</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对村集体经济组织的补助</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35.00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35.00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214</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交通运输支出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15.00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21401</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公路水路运输</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15.00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2140106</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公路养护</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15.00</w:t>
            </w: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220</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自然资源海洋气象等支出</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5.00</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22001</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自然资源事务</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5.00</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r>
        <w:tblPrEx>
          <w:tblCellMar>
            <w:top w:w="0" w:type="dxa"/>
            <w:left w:w="108" w:type="dxa"/>
            <w:bottom w:w="0" w:type="dxa"/>
            <w:right w:w="108" w:type="dxa"/>
          </w:tblCellMar>
        </w:tblPrEx>
        <w:trPr>
          <w:trHeight w:val="283" w:hRule="exact"/>
        </w:trPr>
        <w:tc>
          <w:tcPr>
            <w:tcW w:w="11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2200106</w:t>
            </w:r>
          </w:p>
        </w:tc>
        <w:tc>
          <w:tcPr>
            <w:tcW w:w="36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自然资源利用与保护</w:t>
            </w:r>
          </w:p>
        </w:tc>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5.00</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5.00</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6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r>
    </w:tbl>
    <w:p>
      <w:pPr>
        <w:pStyle w:val="7"/>
        <w:rPr>
          <w:rFonts w:ascii="黑体" w:hAnsi="仿宋" w:eastAsia="黑体"/>
          <w:sz w:val="32"/>
          <w:szCs w:val="32"/>
        </w:rPr>
      </w:pPr>
      <w:r>
        <w:rPr>
          <w:rFonts w:hint="eastAsia" w:ascii="Times New Roman" w:hAnsi="Times New Roman" w:cs="Times New Roman" w:eastAsiaTheme="minorEastAsia"/>
          <w:color w:val="FF0000"/>
        </w:rPr>
        <w:t>注：</w:t>
      </w:r>
      <w:r>
        <w:rPr>
          <w:rFonts w:ascii="Times New Roman" w:hAnsi="Times New Roman" w:cs="Times New Roman" w:eastAsiaTheme="minorEastAsia"/>
          <w:color w:val="FF0000"/>
        </w:rPr>
        <w:t>本表金额转换为万元时，因四舍五入可能存在尾</w:t>
      </w:r>
      <w:r>
        <w:rPr>
          <w:rFonts w:hint="eastAsia" w:ascii="Times New Roman" w:hAnsi="Times New Roman" w:cs="Times New Roman" w:eastAsiaTheme="minorEastAsia"/>
          <w:color w:val="FF0000"/>
        </w:rPr>
        <w:t>数</w:t>
      </w:r>
      <w:r>
        <w:rPr>
          <w:rFonts w:ascii="Times New Roman" w:hAnsi="Times New Roman" w:cs="Times New Roman" w:eastAsiaTheme="minorEastAsia"/>
          <w:color w:val="FF0000"/>
        </w:rPr>
        <w:t>差</w:t>
      </w:r>
      <w:r>
        <w:rPr>
          <w:rFonts w:hint="eastAsia" w:ascii="Times New Roman" w:hAnsi="Times New Roman" w:cs="Times New Roman" w:eastAsiaTheme="minorEastAsia"/>
          <w:color w:val="FF0000"/>
        </w:rPr>
        <w:t>异</w:t>
      </w:r>
      <w:r>
        <w:rPr>
          <w:rFonts w:ascii="Times New Roman" w:hAnsi="Times New Roman" w:cs="Times New Roman" w:eastAsiaTheme="minorEastAsia"/>
          <w:color w:val="FF0000"/>
        </w:rPr>
        <w:t>。</w:t>
      </w:r>
    </w:p>
    <w:p>
      <w:pPr>
        <w:pStyle w:val="8"/>
        <w:ind w:firstLine="0" w:firstLineChars="0"/>
        <w:jc w:val="left"/>
        <w:rPr>
          <w:rFonts w:ascii="黑体" w:hAnsi="仿宋" w:eastAsia="黑体"/>
          <w:sz w:val="32"/>
          <w:szCs w:val="32"/>
        </w:rPr>
      </w:pPr>
      <w:r>
        <w:rPr>
          <w:rFonts w:hint="eastAsia" w:ascii="黑体" w:hAnsi="仿宋" w:eastAsia="黑体"/>
          <w:sz w:val="32"/>
          <w:szCs w:val="32"/>
        </w:rPr>
        <w:t>四、财政拨款收入支出决算总表</w:t>
      </w:r>
    </w:p>
    <w:tbl>
      <w:tblPr>
        <w:tblStyle w:val="5"/>
        <w:tblW w:w="10613" w:type="dxa"/>
        <w:tblInd w:w="-192" w:type="dxa"/>
        <w:tblLayout w:type="fixed"/>
        <w:tblCellMar>
          <w:top w:w="0" w:type="dxa"/>
          <w:left w:w="108" w:type="dxa"/>
          <w:bottom w:w="0" w:type="dxa"/>
          <w:right w:w="108" w:type="dxa"/>
        </w:tblCellMar>
      </w:tblPr>
      <w:tblGrid>
        <w:gridCol w:w="3084"/>
        <w:gridCol w:w="593"/>
        <w:gridCol w:w="281"/>
        <w:gridCol w:w="134"/>
        <w:gridCol w:w="3408"/>
        <w:gridCol w:w="996"/>
        <w:gridCol w:w="236"/>
        <w:gridCol w:w="760"/>
        <w:gridCol w:w="214"/>
        <w:gridCol w:w="489"/>
        <w:gridCol w:w="418"/>
      </w:tblGrid>
      <w:tr>
        <w:tblPrEx>
          <w:tblCellMar>
            <w:top w:w="0" w:type="dxa"/>
            <w:left w:w="108" w:type="dxa"/>
            <w:bottom w:w="0" w:type="dxa"/>
            <w:right w:w="108" w:type="dxa"/>
          </w:tblCellMar>
        </w:tblPrEx>
        <w:trPr>
          <w:gridAfter w:val="1"/>
          <w:wAfter w:w="418" w:type="dxa"/>
          <w:trHeight w:val="540" w:hRule="atLeast"/>
        </w:trPr>
        <w:tc>
          <w:tcPr>
            <w:tcW w:w="10195" w:type="dxa"/>
            <w:gridSpan w:val="10"/>
            <w:tcBorders>
              <w:top w:val="nil"/>
              <w:left w:val="nil"/>
              <w:bottom w:val="nil"/>
              <w:right w:val="nil"/>
            </w:tcBorders>
            <w:shd w:val="clear" w:color="auto" w:fill="auto"/>
            <w:noWrap/>
            <w:vAlign w:val="bottom"/>
          </w:tcPr>
          <w:p>
            <w:pPr>
              <w:widowControl/>
              <w:spacing w:line="240" w:lineRule="auto"/>
              <w:jc w:val="center"/>
              <w:rPr>
                <w:rFonts w:ascii="宋体" w:hAnsi="宋体" w:eastAsia="宋体" w:cs="Arial"/>
                <w:color w:val="000000"/>
                <w:kern w:val="0"/>
                <w:sz w:val="44"/>
                <w:szCs w:val="44"/>
              </w:rPr>
            </w:pPr>
            <w:r>
              <w:rPr>
                <w:rFonts w:hint="eastAsia" w:ascii="黑体" w:hAnsi="Arial" w:eastAsia="黑体" w:cs="Arial"/>
                <w:color w:val="000000"/>
                <w:kern w:val="0"/>
                <w:sz w:val="36"/>
                <w:szCs w:val="36"/>
              </w:rPr>
              <w:t>财政拨款收入支出决算总表</w:t>
            </w:r>
          </w:p>
        </w:tc>
      </w:tr>
      <w:tr>
        <w:tblPrEx>
          <w:tblCellMar>
            <w:top w:w="0" w:type="dxa"/>
            <w:left w:w="108" w:type="dxa"/>
            <w:bottom w:w="0" w:type="dxa"/>
            <w:right w:w="108" w:type="dxa"/>
          </w:tblCellMar>
        </w:tblPrEx>
        <w:trPr>
          <w:trHeight w:val="255" w:hRule="atLeast"/>
        </w:trPr>
        <w:tc>
          <w:tcPr>
            <w:tcW w:w="3677" w:type="dxa"/>
            <w:gridSpan w:val="2"/>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281"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4538" w:type="dxa"/>
            <w:gridSpan w:val="3"/>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236"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974" w:type="dxa"/>
            <w:gridSpan w:val="2"/>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907" w:type="dxa"/>
            <w:gridSpan w:val="2"/>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315" w:hRule="atLeast"/>
        </w:trPr>
        <w:tc>
          <w:tcPr>
            <w:tcW w:w="8496" w:type="dxa"/>
            <w:gridSpan w:val="6"/>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hint="eastAsia" w:ascii="宋体" w:hAnsi="宋体" w:eastAsia="宋体" w:cs="Arial"/>
                <w:color w:val="000000"/>
                <w:kern w:val="0"/>
                <w:sz w:val="24"/>
                <w:szCs w:val="24"/>
              </w:rPr>
              <w:t>编制单位：</w:t>
            </w:r>
            <w:r>
              <w:rPr>
                <w:rFonts w:hint="eastAsia" w:ascii="宋体" w:hAnsi="宋体" w:eastAsia="宋体" w:cs="Arial"/>
                <w:color w:val="000000"/>
                <w:kern w:val="0"/>
                <w:sz w:val="22"/>
              </w:rPr>
              <w:t>连城县朋口镇人民政府</w:t>
            </w:r>
          </w:p>
        </w:tc>
        <w:tc>
          <w:tcPr>
            <w:tcW w:w="236"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881" w:type="dxa"/>
            <w:gridSpan w:val="4"/>
            <w:tcBorders>
              <w:top w:val="nil"/>
              <w:left w:val="nil"/>
              <w:bottom w:val="nil"/>
              <w:right w:val="nil"/>
            </w:tcBorders>
            <w:shd w:val="clear" w:color="auto" w:fill="auto"/>
            <w:noWrap/>
            <w:vAlign w:val="bottom"/>
          </w:tcPr>
          <w:p>
            <w:pPr>
              <w:widowControl/>
              <w:spacing w:line="240" w:lineRule="auto"/>
              <w:jc w:val="right"/>
              <w:rPr>
                <w:rFonts w:ascii="宋体" w:hAnsi="宋体" w:eastAsia="宋体" w:cs="Arial"/>
                <w:color w:val="000000"/>
                <w:kern w:val="0"/>
                <w:sz w:val="24"/>
                <w:szCs w:val="24"/>
              </w:rPr>
            </w:pPr>
            <w:r>
              <w:rPr>
                <w:rFonts w:hint="eastAsia" w:ascii="宋体" w:hAnsi="宋体" w:eastAsia="宋体" w:cs="Arial"/>
                <w:color w:val="000000"/>
                <w:kern w:val="0"/>
                <w:sz w:val="24"/>
                <w:szCs w:val="24"/>
              </w:rPr>
              <w:t>金额单位：万元</w:t>
            </w:r>
          </w:p>
        </w:tc>
      </w:tr>
      <w:tr>
        <w:tblPrEx>
          <w:tblCellMar>
            <w:top w:w="0" w:type="dxa"/>
            <w:left w:w="108" w:type="dxa"/>
            <w:bottom w:w="0" w:type="dxa"/>
            <w:right w:w="108" w:type="dxa"/>
          </w:tblCellMar>
        </w:tblPrEx>
        <w:trPr>
          <w:gridAfter w:val="1"/>
          <w:wAfter w:w="418" w:type="dxa"/>
          <w:trHeight w:val="312" w:hRule="exact"/>
        </w:trPr>
        <w:tc>
          <w:tcPr>
            <w:tcW w:w="4092" w:type="dxa"/>
            <w:gridSpan w:val="4"/>
            <w:tcBorders>
              <w:top w:val="single" w:color="000000" w:sz="8" w:space="0"/>
              <w:left w:val="single" w:color="000000" w:sz="8" w:space="0"/>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收     入</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支     出</w:t>
            </w:r>
          </w:p>
        </w:tc>
      </w:tr>
      <w:tr>
        <w:tblPrEx>
          <w:tblCellMar>
            <w:top w:w="0" w:type="dxa"/>
            <w:left w:w="108" w:type="dxa"/>
            <w:bottom w:w="0" w:type="dxa"/>
            <w:right w:w="108" w:type="dxa"/>
          </w:tblCellMar>
        </w:tblPrEx>
        <w:trPr>
          <w:gridAfter w:val="1"/>
          <w:wAfter w:w="418" w:type="dxa"/>
          <w:trHeight w:val="312" w:hRule="exact"/>
        </w:trPr>
        <w:tc>
          <w:tcPr>
            <w:tcW w:w="3084" w:type="dxa"/>
            <w:vMerge w:val="restart"/>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项    目</w:t>
            </w:r>
          </w:p>
        </w:tc>
        <w:tc>
          <w:tcPr>
            <w:tcW w:w="1008" w:type="dxa"/>
            <w:gridSpan w:val="3"/>
            <w:vMerge w:val="restart"/>
            <w:tcBorders>
              <w:top w:val="nil"/>
              <w:left w:val="nil"/>
              <w:bottom w:val="single" w:color="000000" w:sz="4" w:space="0"/>
              <w:right w:val="nil"/>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金额</w:t>
            </w:r>
          </w:p>
        </w:tc>
        <w:tc>
          <w:tcPr>
            <w:tcW w:w="3408"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项目（按功能分类）</w:t>
            </w:r>
          </w:p>
        </w:tc>
        <w:tc>
          <w:tcPr>
            <w:tcW w:w="996"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合计</w:t>
            </w:r>
          </w:p>
        </w:tc>
        <w:tc>
          <w:tcPr>
            <w:tcW w:w="996"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一般公共预算财政拨款</w:t>
            </w:r>
          </w:p>
        </w:tc>
        <w:tc>
          <w:tcPr>
            <w:tcW w:w="70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政府性基金预算财政拨款</w:t>
            </w:r>
          </w:p>
        </w:tc>
      </w:tr>
      <w:tr>
        <w:tblPrEx>
          <w:tblCellMar>
            <w:top w:w="0" w:type="dxa"/>
            <w:left w:w="108" w:type="dxa"/>
            <w:bottom w:w="0" w:type="dxa"/>
            <w:right w:w="108" w:type="dxa"/>
          </w:tblCellMar>
        </w:tblPrEx>
        <w:trPr>
          <w:gridAfter w:val="1"/>
          <w:wAfter w:w="418" w:type="dxa"/>
          <w:trHeight w:val="312" w:hRule="exact"/>
        </w:trPr>
        <w:tc>
          <w:tcPr>
            <w:tcW w:w="3084" w:type="dxa"/>
            <w:vMerge w:val="continue"/>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18"/>
                <w:szCs w:val="18"/>
              </w:rPr>
            </w:pPr>
          </w:p>
        </w:tc>
        <w:tc>
          <w:tcPr>
            <w:tcW w:w="1008" w:type="dxa"/>
            <w:gridSpan w:val="3"/>
            <w:vMerge w:val="continue"/>
            <w:tcBorders>
              <w:top w:val="nil"/>
              <w:left w:val="nil"/>
              <w:bottom w:val="single" w:color="000000" w:sz="4" w:space="0"/>
              <w:right w:val="nil"/>
            </w:tcBorders>
            <w:vAlign w:val="center"/>
          </w:tcPr>
          <w:p>
            <w:pPr>
              <w:widowControl/>
              <w:spacing w:line="240" w:lineRule="auto"/>
              <w:jc w:val="left"/>
              <w:rPr>
                <w:rFonts w:ascii="宋体" w:hAnsi="宋体" w:eastAsia="宋体" w:cs="Arial"/>
                <w:color w:val="000000"/>
                <w:kern w:val="0"/>
                <w:sz w:val="18"/>
                <w:szCs w:val="18"/>
              </w:rPr>
            </w:pPr>
          </w:p>
        </w:tc>
        <w:tc>
          <w:tcPr>
            <w:tcW w:w="3408"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996"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996"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c>
          <w:tcPr>
            <w:tcW w:w="703"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一、一般公共预算财政拨款</w:t>
            </w:r>
          </w:p>
        </w:tc>
        <w:tc>
          <w:tcPr>
            <w:tcW w:w="1008" w:type="dxa"/>
            <w:gridSpan w:val="3"/>
            <w:tcBorders>
              <w:top w:val="nil"/>
              <w:left w:val="nil"/>
              <w:bottom w:val="single" w:color="000000" w:sz="4" w:space="0"/>
              <w:right w:val="nil"/>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2172.38</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一、一般公共服务支出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948.99</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948.99</w:t>
            </w: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二、政府性基金预算财政拨款</w:t>
            </w:r>
          </w:p>
        </w:tc>
        <w:tc>
          <w:tcPr>
            <w:tcW w:w="1008" w:type="dxa"/>
            <w:gridSpan w:val="3"/>
            <w:tcBorders>
              <w:top w:val="nil"/>
              <w:left w:val="nil"/>
              <w:bottom w:val="single" w:color="000000" w:sz="4" w:space="0"/>
              <w:right w:val="nil"/>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二、外交支出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三、国有资本经营财政拨款</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三、国防支出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四、公共安全支出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五、教育支出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六、科学技术支出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七、文化旅游体育与传媒支出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八、社会保障和就业支出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80.23</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80.23</w:t>
            </w: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九、卫生健康支出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35.04</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35.04</w:t>
            </w: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十、节能环保支出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603.24</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603.24</w:t>
            </w: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十一、城乡社区支出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476.00</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476.00</w:t>
            </w: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十二、农林水支出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541.25</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541.25</w:t>
            </w: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十三、交通运输支出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15.00</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15.00</w:t>
            </w: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十四、资源勘探信息等支出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十五、商业服务业等支出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十六、金融支出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十七、援助其他地区支出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十八、自然资源海洋气象等支出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5.00</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5.00</w:t>
            </w: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十九、住房保障支出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二十、粮油物资储备支出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cs="Arial"/>
                <w:color w:val="000000"/>
                <w:sz w:val="18"/>
                <w:szCs w:val="18"/>
              </w:rPr>
            </w:pPr>
            <w:r>
              <w:rPr>
                <w:rFonts w:hint="eastAsia" w:cs="Arial"/>
                <w:color w:val="000000"/>
                <w:sz w:val="18"/>
                <w:szCs w:val="18"/>
              </w:rPr>
              <w:t>二十一、国有资本经营预算支出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二十二、灾害防治及应急管理支出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000000"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二十三、其他支出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nil"/>
              <w:left w:val="single" w:color="000000" w:sz="8" w:space="0"/>
              <w:bottom w:val="single" w:color="auto"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nil"/>
              <w:left w:val="nil"/>
              <w:bottom w:val="single" w:color="auto" w:sz="4" w:space="0"/>
              <w:right w:val="nil"/>
            </w:tcBorders>
            <w:shd w:val="clear" w:color="auto" w:fill="auto"/>
            <w:noWrap/>
            <w:vAlign w:val="center"/>
          </w:tcPr>
          <w:p>
            <w:pPr>
              <w:widowControl/>
              <w:spacing w:line="240" w:lineRule="auto"/>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408" w:type="dxa"/>
            <w:tcBorders>
              <w:top w:val="nil"/>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二十四、债务还本支出</w:t>
            </w:r>
          </w:p>
        </w:tc>
        <w:tc>
          <w:tcPr>
            <w:tcW w:w="99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b/>
                <w:bCs/>
                <w:color w:val="000000"/>
                <w:kern w:val="0"/>
                <w:sz w:val="18"/>
                <w:szCs w:val="18"/>
              </w:rPr>
            </w:pPr>
          </w:p>
        </w:tc>
        <w:tc>
          <w:tcPr>
            <w:tcW w:w="10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right"/>
              <w:rPr>
                <w:rFonts w:ascii="宋体" w:hAnsi="宋体" w:eastAsia="宋体" w:cs="Arial"/>
                <w:color w:val="000000"/>
                <w:kern w:val="0"/>
                <w:sz w:val="18"/>
                <w:szCs w:val="18"/>
              </w:rPr>
            </w:pPr>
          </w:p>
        </w:tc>
        <w:tc>
          <w:tcPr>
            <w:tcW w:w="3408"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18"/>
                <w:szCs w:val="18"/>
              </w:rPr>
            </w:pPr>
            <w:r>
              <w:rPr>
                <w:rFonts w:hint="eastAsia" w:cs="Arial"/>
                <w:color w:val="000000"/>
                <w:sz w:val="18"/>
                <w:szCs w:val="18"/>
              </w:rPr>
              <w:t>二十五、债务付息支出</w:t>
            </w:r>
          </w:p>
        </w:tc>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b/>
                <w:bCs/>
                <w:color w:val="000000"/>
                <w:kern w:val="0"/>
                <w:sz w:val="18"/>
                <w:szCs w:val="18"/>
              </w:rPr>
            </w:pPr>
          </w:p>
        </w:tc>
        <w:tc>
          <w:tcPr>
            <w:tcW w:w="9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b/>
                <w:bCs/>
                <w:color w:val="000000"/>
                <w:kern w:val="0"/>
                <w:sz w:val="18"/>
                <w:szCs w:val="18"/>
              </w:rPr>
            </w:pPr>
          </w:p>
        </w:tc>
        <w:tc>
          <w:tcPr>
            <w:tcW w:w="10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right"/>
              <w:rPr>
                <w:rFonts w:ascii="宋体" w:hAnsi="宋体" w:eastAsia="宋体" w:cs="Arial"/>
                <w:color w:val="000000"/>
                <w:kern w:val="0"/>
                <w:sz w:val="18"/>
                <w:szCs w:val="18"/>
              </w:rPr>
            </w:pPr>
          </w:p>
        </w:tc>
        <w:tc>
          <w:tcPr>
            <w:tcW w:w="3408"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cs="Arial"/>
                <w:color w:val="000000"/>
                <w:sz w:val="18"/>
                <w:szCs w:val="18"/>
              </w:rPr>
            </w:pPr>
            <w:r>
              <w:rPr>
                <w:rFonts w:hint="eastAsia" w:cs="Arial"/>
                <w:color w:val="000000"/>
                <w:sz w:val="18"/>
                <w:szCs w:val="18"/>
              </w:rPr>
              <w:t>二十六、抗疫特别国债安排的支出</w:t>
            </w:r>
          </w:p>
        </w:tc>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b/>
                <w:bCs/>
                <w:color w:val="000000"/>
                <w:kern w:val="0"/>
                <w:sz w:val="18"/>
                <w:szCs w:val="18"/>
              </w:rPr>
            </w:pPr>
          </w:p>
        </w:tc>
        <w:tc>
          <w:tcPr>
            <w:tcW w:w="9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7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本年收入合计</w:t>
            </w:r>
          </w:p>
        </w:tc>
        <w:tc>
          <w:tcPr>
            <w:tcW w:w="10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2172.38</w:t>
            </w:r>
          </w:p>
        </w:tc>
        <w:tc>
          <w:tcPr>
            <w:tcW w:w="34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本年支出合计</w:t>
            </w:r>
          </w:p>
        </w:tc>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b/>
                <w:bCs/>
                <w:color w:val="000000"/>
                <w:kern w:val="0"/>
                <w:sz w:val="18"/>
                <w:szCs w:val="18"/>
              </w:rPr>
            </w:pPr>
            <w:r>
              <w:rPr>
                <w:rFonts w:hint="eastAsia" w:ascii="宋体" w:hAnsi="宋体" w:eastAsia="宋体" w:cs="宋体"/>
                <w:color w:val="000000"/>
                <w:kern w:val="0"/>
                <w:sz w:val="18"/>
                <w:szCs w:val="18"/>
              </w:rPr>
              <w:t>2704.75</w:t>
            </w:r>
          </w:p>
        </w:tc>
        <w:tc>
          <w:tcPr>
            <w:tcW w:w="9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2704.75</w:t>
            </w:r>
          </w:p>
        </w:tc>
        <w:tc>
          <w:tcPr>
            <w:tcW w:w="7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18"/>
                <w:szCs w:val="18"/>
              </w:rPr>
            </w:pPr>
          </w:p>
        </w:tc>
        <w:tc>
          <w:tcPr>
            <w:tcW w:w="34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18"/>
                <w:szCs w:val="18"/>
              </w:rPr>
            </w:pPr>
          </w:p>
        </w:tc>
        <w:tc>
          <w:tcPr>
            <w:tcW w:w="9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18"/>
                <w:szCs w:val="18"/>
              </w:rPr>
            </w:pPr>
          </w:p>
        </w:tc>
        <w:tc>
          <w:tcPr>
            <w:tcW w:w="703"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pP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年初财政拨款结转和结余</w:t>
            </w:r>
          </w:p>
        </w:tc>
        <w:tc>
          <w:tcPr>
            <w:tcW w:w="10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961.851</w:t>
            </w:r>
          </w:p>
        </w:tc>
        <w:tc>
          <w:tcPr>
            <w:tcW w:w="34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年末财政拨款结转和结余</w:t>
            </w:r>
          </w:p>
        </w:tc>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429.48</w:t>
            </w:r>
          </w:p>
        </w:tc>
        <w:tc>
          <w:tcPr>
            <w:tcW w:w="9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429.48</w:t>
            </w:r>
          </w:p>
        </w:tc>
        <w:tc>
          <w:tcPr>
            <w:tcW w:w="7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一、一般公共预算财政拨款</w:t>
            </w:r>
          </w:p>
        </w:tc>
        <w:tc>
          <w:tcPr>
            <w:tcW w:w="10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961.85</w:t>
            </w:r>
          </w:p>
        </w:tc>
        <w:tc>
          <w:tcPr>
            <w:tcW w:w="34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w:t>
            </w:r>
          </w:p>
        </w:tc>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18"/>
                <w:szCs w:val="18"/>
              </w:rPr>
            </w:pPr>
          </w:p>
        </w:tc>
        <w:tc>
          <w:tcPr>
            <w:tcW w:w="9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18"/>
                <w:szCs w:val="18"/>
              </w:rPr>
            </w:pPr>
          </w:p>
        </w:tc>
        <w:tc>
          <w:tcPr>
            <w:tcW w:w="703"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pP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二、政府性基金预算财政拨款</w:t>
            </w:r>
          </w:p>
        </w:tc>
        <w:tc>
          <w:tcPr>
            <w:tcW w:w="10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p>
        </w:tc>
        <w:tc>
          <w:tcPr>
            <w:tcW w:w="34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w:t>
            </w:r>
          </w:p>
        </w:tc>
        <w:tc>
          <w:tcPr>
            <w:tcW w:w="996" w:type="dxa"/>
            <w:tcBorders>
              <w:top w:val="single" w:color="auto" w:sz="4" w:space="0"/>
              <w:left w:val="single" w:color="auto" w:sz="4" w:space="0"/>
              <w:bottom w:val="single" w:color="auto" w:sz="4" w:space="0"/>
              <w:right w:val="single" w:color="auto" w:sz="4" w:space="0"/>
            </w:tcBorders>
            <w:shd w:val="clear" w:color="auto" w:fill="auto"/>
            <w:noWrap/>
            <w:vAlign w:val="bottom"/>
          </w:tcPr>
          <w:p>
            <w:pPr>
              <w:rPr>
                <w:rFonts w:ascii="宋体" w:hAnsi="宋体" w:eastAsia="宋体" w:cs="Arial"/>
                <w:color w:val="000000"/>
                <w:kern w:val="0"/>
                <w:sz w:val="18"/>
                <w:szCs w:val="18"/>
              </w:rPr>
            </w:pPr>
          </w:p>
        </w:tc>
        <w:tc>
          <w:tcPr>
            <w:tcW w:w="996"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pPr>
              <w:rPr>
                <w:rFonts w:ascii="宋体" w:hAnsi="宋体" w:eastAsia="宋体" w:cs="Arial"/>
                <w:color w:val="000000"/>
                <w:kern w:val="0"/>
                <w:sz w:val="18"/>
                <w:szCs w:val="18"/>
              </w:rPr>
            </w:pPr>
          </w:p>
        </w:tc>
        <w:tc>
          <w:tcPr>
            <w:tcW w:w="703"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pP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三、国有资本经营预算财政拨款</w:t>
            </w:r>
          </w:p>
        </w:tc>
        <w:tc>
          <w:tcPr>
            <w:tcW w:w="10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18"/>
                <w:szCs w:val="18"/>
              </w:rPr>
            </w:pPr>
          </w:p>
        </w:tc>
        <w:tc>
          <w:tcPr>
            <w:tcW w:w="34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18"/>
                <w:szCs w:val="18"/>
              </w:rPr>
            </w:pPr>
          </w:p>
        </w:tc>
        <w:tc>
          <w:tcPr>
            <w:tcW w:w="9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eastAsia="宋体" w:cs="Arial"/>
                <w:color w:val="000000"/>
                <w:kern w:val="0"/>
                <w:sz w:val="18"/>
                <w:szCs w:val="18"/>
              </w:rPr>
            </w:pPr>
          </w:p>
        </w:tc>
        <w:tc>
          <w:tcPr>
            <w:tcW w:w="703"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pPr>
              <w:rPr>
                <w:rFonts w:ascii="Arial" w:hAnsi="Arial" w:eastAsia="宋体" w:cs="Arial"/>
                <w:color w:val="000000"/>
                <w:kern w:val="0"/>
                <w:sz w:val="18"/>
                <w:szCs w:val="18"/>
              </w:rPr>
            </w:pPr>
          </w:p>
        </w:tc>
      </w:tr>
      <w:tr>
        <w:tblPrEx>
          <w:tblCellMar>
            <w:top w:w="0" w:type="dxa"/>
            <w:left w:w="108" w:type="dxa"/>
            <w:bottom w:w="0" w:type="dxa"/>
            <w:right w:w="108" w:type="dxa"/>
          </w:tblCellMar>
        </w:tblPrEx>
        <w:trPr>
          <w:gridAfter w:val="1"/>
          <w:wAfter w:w="418" w:type="dxa"/>
          <w:trHeight w:val="312" w:hRule="exact"/>
        </w:trPr>
        <w:tc>
          <w:tcPr>
            <w:tcW w:w="3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总计</w:t>
            </w:r>
          </w:p>
        </w:tc>
        <w:tc>
          <w:tcPr>
            <w:tcW w:w="10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3134.23</w:t>
            </w:r>
          </w:p>
        </w:tc>
        <w:tc>
          <w:tcPr>
            <w:tcW w:w="34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总计</w:t>
            </w:r>
          </w:p>
        </w:tc>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b/>
                <w:bCs/>
                <w:color w:val="000000"/>
                <w:kern w:val="0"/>
                <w:sz w:val="18"/>
                <w:szCs w:val="18"/>
              </w:rPr>
            </w:pPr>
            <w:r>
              <w:rPr>
                <w:rFonts w:hint="eastAsia" w:ascii="宋体" w:hAnsi="宋体" w:eastAsia="宋体" w:cs="宋体"/>
                <w:color w:val="000000"/>
                <w:kern w:val="0"/>
                <w:sz w:val="18"/>
                <w:szCs w:val="18"/>
              </w:rPr>
              <w:t>3134.23</w:t>
            </w:r>
          </w:p>
        </w:tc>
        <w:tc>
          <w:tcPr>
            <w:tcW w:w="9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8"/>
                <w:szCs w:val="18"/>
              </w:rPr>
            </w:pPr>
            <w:r>
              <w:rPr>
                <w:rFonts w:hint="eastAsia" w:ascii="宋体" w:hAnsi="宋体" w:eastAsia="宋体" w:cs="宋体"/>
                <w:color w:val="000000"/>
                <w:kern w:val="0"/>
                <w:sz w:val="18"/>
                <w:szCs w:val="18"/>
              </w:rPr>
              <w:t>3134.23</w:t>
            </w:r>
          </w:p>
        </w:tc>
        <w:tc>
          <w:tcPr>
            <w:tcW w:w="7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18"/>
                <w:szCs w:val="18"/>
              </w:rPr>
            </w:pPr>
          </w:p>
        </w:tc>
      </w:tr>
    </w:tbl>
    <w:p>
      <w:pPr>
        <w:pStyle w:val="7"/>
        <w:rPr>
          <w:rFonts w:ascii="Times New Roman" w:hAnsi="Times New Roman" w:cs="Times New Roman" w:eastAsiaTheme="minorEastAsia"/>
          <w:color w:val="FF0000"/>
        </w:rPr>
      </w:pPr>
      <w:r>
        <w:rPr>
          <w:rFonts w:hint="eastAsia" w:ascii="Times New Roman" w:hAnsi="Times New Roman" w:cs="Times New Roman" w:eastAsiaTheme="minorEastAsia"/>
          <w:color w:val="FF0000"/>
        </w:rPr>
        <w:t>注：</w:t>
      </w:r>
      <w:r>
        <w:rPr>
          <w:rFonts w:ascii="Times New Roman" w:hAnsi="Times New Roman" w:cs="Times New Roman" w:eastAsiaTheme="minorEastAsia"/>
          <w:color w:val="FF0000"/>
        </w:rPr>
        <w:t>本表金额转换为万元时，因四舍五入可能存在尾</w:t>
      </w:r>
      <w:r>
        <w:rPr>
          <w:rFonts w:hint="eastAsia" w:ascii="Times New Roman" w:hAnsi="Times New Roman" w:cs="Times New Roman" w:eastAsiaTheme="minorEastAsia"/>
          <w:color w:val="FF0000"/>
        </w:rPr>
        <w:t>数</w:t>
      </w:r>
      <w:r>
        <w:rPr>
          <w:rFonts w:ascii="Times New Roman" w:hAnsi="Times New Roman" w:cs="Times New Roman" w:eastAsiaTheme="minorEastAsia"/>
          <w:color w:val="FF0000"/>
        </w:rPr>
        <w:t>差</w:t>
      </w:r>
      <w:r>
        <w:rPr>
          <w:rFonts w:hint="eastAsia" w:ascii="Times New Roman" w:hAnsi="Times New Roman" w:cs="Times New Roman" w:eastAsiaTheme="minorEastAsia"/>
          <w:color w:val="FF0000"/>
        </w:rPr>
        <w:t>异</w:t>
      </w:r>
      <w:r>
        <w:rPr>
          <w:rFonts w:ascii="Times New Roman" w:hAnsi="Times New Roman" w:cs="Times New Roman" w:eastAsiaTheme="minorEastAsia"/>
          <w:color w:val="FF0000"/>
        </w:rPr>
        <w:t>。</w:t>
      </w:r>
    </w:p>
    <w:p>
      <w:pPr>
        <w:pStyle w:val="8"/>
        <w:ind w:firstLine="0" w:firstLineChars="0"/>
        <w:jc w:val="left"/>
        <w:rPr>
          <w:rFonts w:ascii="黑体" w:hAnsi="仿宋" w:eastAsia="黑体"/>
          <w:sz w:val="32"/>
          <w:szCs w:val="32"/>
        </w:rPr>
      </w:pPr>
      <w:r>
        <w:rPr>
          <w:rFonts w:hint="eastAsia" w:ascii="黑体" w:hAnsi="仿宋" w:eastAsia="黑体"/>
          <w:sz w:val="32"/>
          <w:szCs w:val="32"/>
        </w:rPr>
        <w:t>五、一般公共预算财政拨款支出决算表</w:t>
      </w:r>
    </w:p>
    <w:tbl>
      <w:tblPr>
        <w:tblStyle w:val="5"/>
        <w:tblW w:w="8216" w:type="dxa"/>
        <w:tblInd w:w="91" w:type="dxa"/>
        <w:tblLayout w:type="fixed"/>
        <w:tblCellMar>
          <w:top w:w="0" w:type="dxa"/>
          <w:left w:w="108" w:type="dxa"/>
          <w:bottom w:w="0" w:type="dxa"/>
          <w:right w:w="108" w:type="dxa"/>
        </w:tblCellMar>
      </w:tblPr>
      <w:tblGrid>
        <w:gridCol w:w="1291"/>
        <w:gridCol w:w="2982"/>
        <w:gridCol w:w="1287"/>
        <w:gridCol w:w="1278"/>
        <w:gridCol w:w="1339"/>
        <w:gridCol w:w="39"/>
      </w:tblGrid>
      <w:tr>
        <w:tblPrEx>
          <w:tblCellMar>
            <w:top w:w="0" w:type="dxa"/>
            <w:left w:w="108" w:type="dxa"/>
            <w:bottom w:w="0" w:type="dxa"/>
            <w:right w:w="108" w:type="dxa"/>
          </w:tblCellMar>
        </w:tblPrEx>
        <w:trPr>
          <w:gridAfter w:val="1"/>
          <w:wAfter w:w="39" w:type="dxa"/>
          <w:trHeight w:val="540" w:hRule="atLeast"/>
        </w:trPr>
        <w:tc>
          <w:tcPr>
            <w:tcW w:w="8177" w:type="dxa"/>
            <w:gridSpan w:val="5"/>
            <w:tcBorders>
              <w:top w:val="nil"/>
              <w:left w:val="nil"/>
              <w:bottom w:val="nil"/>
              <w:right w:val="nil"/>
            </w:tcBorders>
            <w:shd w:val="clear" w:color="auto" w:fill="auto"/>
            <w:noWrap/>
            <w:vAlign w:val="bottom"/>
          </w:tcPr>
          <w:p>
            <w:pPr>
              <w:widowControl/>
              <w:spacing w:line="240" w:lineRule="auto"/>
              <w:jc w:val="center"/>
              <w:rPr>
                <w:rFonts w:ascii="黑体" w:hAnsi="Arial" w:eastAsia="黑体" w:cs="Arial"/>
                <w:kern w:val="0"/>
                <w:sz w:val="44"/>
                <w:szCs w:val="44"/>
              </w:rPr>
            </w:pPr>
            <w:r>
              <w:rPr>
                <w:rFonts w:hint="eastAsia" w:ascii="黑体" w:hAnsi="Arial" w:eastAsia="黑体" w:cs="Arial"/>
                <w:color w:val="000000"/>
                <w:kern w:val="0"/>
                <w:sz w:val="36"/>
                <w:szCs w:val="36"/>
              </w:rPr>
              <w:t>一般公共财政拨款支出决算表</w:t>
            </w:r>
          </w:p>
        </w:tc>
      </w:tr>
      <w:tr>
        <w:tblPrEx>
          <w:tblCellMar>
            <w:top w:w="0" w:type="dxa"/>
            <w:left w:w="108" w:type="dxa"/>
            <w:bottom w:w="0" w:type="dxa"/>
            <w:right w:w="108" w:type="dxa"/>
          </w:tblCellMar>
        </w:tblPrEx>
        <w:trPr>
          <w:trHeight w:val="510" w:hRule="atLeast"/>
        </w:trPr>
        <w:tc>
          <w:tcPr>
            <w:tcW w:w="5560" w:type="dxa"/>
            <w:gridSpan w:val="3"/>
            <w:tcBorders>
              <w:top w:val="nil"/>
              <w:left w:val="nil"/>
              <w:bottom w:val="nil"/>
              <w:right w:val="nil"/>
            </w:tcBorders>
            <w:shd w:val="clear" w:color="auto" w:fill="auto"/>
            <w:noWrap/>
            <w:vAlign w:val="center"/>
          </w:tcPr>
          <w:p>
            <w:pPr>
              <w:widowControl/>
              <w:spacing w:line="240" w:lineRule="auto"/>
              <w:jc w:val="left"/>
              <w:rPr>
                <w:rFonts w:ascii="宋体" w:hAnsi="宋体" w:eastAsia="宋体" w:cs="Arial"/>
                <w:kern w:val="0"/>
                <w:sz w:val="24"/>
                <w:szCs w:val="24"/>
              </w:rPr>
            </w:pPr>
            <w:r>
              <w:rPr>
                <w:rFonts w:hint="eastAsia" w:ascii="宋体" w:hAnsi="宋体" w:eastAsia="宋体" w:cs="Arial"/>
                <w:kern w:val="0"/>
                <w:sz w:val="24"/>
                <w:szCs w:val="24"/>
              </w:rPr>
              <w:t>编制单位：</w:t>
            </w:r>
            <w:r>
              <w:rPr>
                <w:rFonts w:hint="eastAsia" w:ascii="宋体" w:hAnsi="宋体" w:eastAsia="宋体" w:cs="Arial"/>
                <w:color w:val="000000"/>
                <w:kern w:val="0"/>
                <w:sz w:val="22"/>
              </w:rPr>
              <w:t>连城县朋口镇人民政府</w:t>
            </w:r>
          </w:p>
        </w:tc>
        <w:tc>
          <w:tcPr>
            <w:tcW w:w="2656" w:type="dxa"/>
            <w:gridSpan w:val="3"/>
            <w:tcBorders>
              <w:top w:val="nil"/>
              <w:left w:val="nil"/>
              <w:bottom w:val="nil"/>
              <w:right w:val="nil"/>
            </w:tcBorders>
            <w:shd w:val="clear" w:color="auto" w:fill="auto"/>
            <w:noWrap/>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单位：万元</w:t>
            </w:r>
          </w:p>
        </w:tc>
      </w:tr>
      <w:tr>
        <w:tblPrEx>
          <w:tblCellMar>
            <w:top w:w="0" w:type="dxa"/>
            <w:left w:w="108" w:type="dxa"/>
            <w:bottom w:w="0" w:type="dxa"/>
            <w:right w:w="108" w:type="dxa"/>
          </w:tblCellMar>
        </w:tblPrEx>
        <w:trPr>
          <w:gridAfter w:val="1"/>
          <w:wAfter w:w="39" w:type="dxa"/>
          <w:trHeight w:val="300" w:hRule="exact"/>
        </w:trPr>
        <w:tc>
          <w:tcPr>
            <w:tcW w:w="427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kern w:val="0"/>
                <w:sz w:val="16"/>
                <w:szCs w:val="16"/>
              </w:rPr>
            </w:pPr>
            <w:r>
              <w:rPr>
                <w:rFonts w:hint="eastAsia" w:ascii="宋体" w:hAnsi="宋体" w:eastAsia="宋体" w:cs="Arial"/>
                <w:kern w:val="0"/>
                <w:sz w:val="16"/>
                <w:szCs w:val="16"/>
              </w:rPr>
              <w:t>项   目</w:t>
            </w:r>
          </w:p>
        </w:tc>
        <w:tc>
          <w:tcPr>
            <w:tcW w:w="390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kern w:val="0"/>
                <w:sz w:val="16"/>
                <w:szCs w:val="16"/>
              </w:rPr>
            </w:pPr>
            <w:r>
              <w:rPr>
                <w:rFonts w:hint="eastAsia" w:ascii="宋体" w:hAnsi="宋体" w:eastAsia="宋体" w:cs="Arial"/>
                <w:kern w:val="0"/>
                <w:sz w:val="16"/>
                <w:szCs w:val="16"/>
              </w:rPr>
              <w:t>本年支出</w:t>
            </w:r>
          </w:p>
        </w:tc>
      </w:tr>
      <w:tr>
        <w:tblPrEx>
          <w:tblCellMar>
            <w:top w:w="0" w:type="dxa"/>
            <w:left w:w="108" w:type="dxa"/>
            <w:bottom w:w="0" w:type="dxa"/>
            <w:right w:w="108" w:type="dxa"/>
          </w:tblCellMar>
        </w:tblPrEx>
        <w:trPr>
          <w:gridAfter w:val="1"/>
          <w:wAfter w:w="39" w:type="dxa"/>
          <w:trHeight w:val="300" w:hRule="exact"/>
        </w:trPr>
        <w:tc>
          <w:tcPr>
            <w:tcW w:w="129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功能分类科目编码</w:t>
            </w:r>
          </w:p>
        </w:tc>
        <w:tc>
          <w:tcPr>
            <w:tcW w:w="2982"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科目名称</w:t>
            </w:r>
          </w:p>
        </w:tc>
        <w:tc>
          <w:tcPr>
            <w:tcW w:w="1287"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小计</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基本支出</w:t>
            </w:r>
          </w:p>
        </w:tc>
        <w:tc>
          <w:tcPr>
            <w:tcW w:w="133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项目支出</w:t>
            </w:r>
          </w:p>
        </w:tc>
      </w:tr>
      <w:tr>
        <w:tblPrEx>
          <w:tblCellMar>
            <w:top w:w="0" w:type="dxa"/>
            <w:left w:w="108" w:type="dxa"/>
            <w:bottom w:w="0" w:type="dxa"/>
            <w:right w:w="108" w:type="dxa"/>
          </w:tblCellMar>
        </w:tblPrEx>
        <w:trPr>
          <w:gridAfter w:val="1"/>
          <w:wAfter w:w="39" w:type="dxa"/>
          <w:trHeight w:val="300" w:hRule="exact"/>
        </w:trPr>
        <w:tc>
          <w:tcPr>
            <w:tcW w:w="4273"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合计</w:t>
            </w:r>
          </w:p>
        </w:tc>
        <w:tc>
          <w:tcPr>
            <w:tcW w:w="1287"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2704.75</w:t>
            </w:r>
          </w:p>
        </w:tc>
        <w:tc>
          <w:tcPr>
            <w:tcW w:w="1278"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1430.51</w:t>
            </w:r>
          </w:p>
        </w:tc>
        <w:tc>
          <w:tcPr>
            <w:tcW w:w="133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1274.24</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201</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一般公共服务支出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948.99</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948.99</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20103</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政府办公厅（室）及相关机构事务</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948.99</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948.99</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2010301</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 xml:space="preserve">  行政运行</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948.99</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948.99</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208</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社会保障和就业支出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80.23</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80.23</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20802</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民政管理事务</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80.23</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80.23</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2080208</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 xml:space="preserve">  基层政权和社区建设</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80.23</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80.23</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210</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卫生健康支出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35.04</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35.04</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21004</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公共卫生</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30.00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30.00</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2100410</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 xml:space="preserve"> 突发公共卫生事件应急处理</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30.00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30.00</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21007</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计划生育事务</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5.04</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5.04</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2100799</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 xml:space="preserve">  其他计划生育事务支出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5.04</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5.04</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211</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节能环保支出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603.24</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603.24</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21103</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污染防治</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603.24</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603.24</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2110302</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 xml:space="preserve">  水体</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603.24</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603.24</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212</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城乡社区支出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476.00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476.00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21203</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城乡社区公共设施</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461.00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461.00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2120303</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 xml:space="preserve">  小城镇基础设施建设</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461.00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461.00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21299</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其他城乡社区支出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15.00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15.00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2129901</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 xml:space="preserve">  其他城乡社区支出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15.00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15.00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213</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农林水支出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541.25</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361.25</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180.00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21301</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农业农村</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30.00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30.00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2130199</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 xml:space="preserve">  其他农业农村支出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30.00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30.00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21305</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扶贫</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115.00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115.00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2130504</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 xml:space="preserve">  农村基础设施建设</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15.00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15.00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2130599</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 xml:space="preserve">  其他扶贫支出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100.00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100.00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21307</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农村综合改革</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396.25</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361.25</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35.00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2130705</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 xml:space="preserve">  对村民委员会和村党支部的补助</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361.25</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宋体"/>
                <w:color w:val="000000"/>
                <w:kern w:val="0"/>
                <w:sz w:val="16"/>
                <w:szCs w:val="16"/>
              </w:rPr>
              <w:t>361.25</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2130706</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对村集体经济组织的补助</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35.00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35.00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214</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交通运输支出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15.00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15.00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21401</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公路水路运输</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15.00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15.00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2140106</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公路养护</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15.00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r>
              <w:rPr>
                <w:rFonts w:hint="eastAsia" w:ascii="宋体" w:hAnsi="宋体" w:eastAsia="宋体" w:cs="Arial"/>
                <w:color w:val="000000"/>
                <w:kern w:val="0"/>
                <w:sz w:val="16"/>
                <w:szCs w:val="16"/>
              </w:rPr>
              <w:t>15.00</w:t>
            </w: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220</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自然资源海洋气象等支出</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5.00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5.00</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22001</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自然资源事务</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5.00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5.00</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r>
        <w:tblPrEx>
          <w:tblCellMar>
            <w:top w:w="0" w:type="dxa"/>
            <w:left w:w="108" w:type="dxa"/>
            <w:bottom w:w="0" w:type="dxa"/>
            <w:right w:w="108" w:type="dxa"/>
          </w:tblCellMar>
        </w:tblPrEx>
        <w:trPr>
          <w:gridAfter w:val="1"/>
          <w:wAfter w:w="39" w:type="dxa"/>
          <w:trHeight w:val="300" w:hRule="exac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2200106</w:t>
            </w:r>
          </w:p>
        </w:tc>
        <w:tc>
          <w:tcPr>
            <w:tcW w:w="29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自然资源利用与保护</w:t>
            </w:r>
          </w:p>
        </w:tc>
        <w:tc>
          <w:tcPr>
            <w:tcW w:w="12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5.00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5.00</w:t>
            </w:r>
          </w:p>
        </w:tc>
        <w:tc>
          <w:tcPr>
            <w:tcW w:w="1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16"/>
                <w:szCs w:val="16"/>
              </w:rPr>
            </w:pPr>
          </w:p>
        </w:tc>
      </w:tr>
    </w:tbl>
    <w:p>
      <w:pPr>
        <w:pStyle w:val="7"/>
        <w:rPr>
          <w:rFonts w:ascii="Times New Roman" w:hAnsi="Times New Roman" w:cs="Times New Roman" w:eastAsiaTheme="minorEastAsia"/>
          <w:color w:val="FF0000"/>
        </w:rPr>
      </w:pPr>
      <w:r>
        <w:rPr>
          <w:rFonts w:hint="eastAsia" w:ascii="Times New Roman" w:hAnsi="Times New Roman" w:cs="Times New Roman" w:eastAsiaTheme="minorEastAsia"/>
          <w:color w:val="FF0000"/>
        </w:rPr>
        <w:t>注：</w:t>
      </w:r>
      <w:r>
        <w:rPr>
          <w:rFonts w:ascii="Times New Roman" w:hAnsi="Times New Roman" w:cs="Times New Roman" w:eastAsiaTheme="minorEastAsia"/>
          <w:color w:val="FF0000"/>
        </w:rPr>
        <w:t>本表金额转换为万元时，因四舍五入可能存在尾</w:t>
      </w:r>
      <w:r>
        <w:rPr>
          <w:rFonts w:hint="eastAsia" w:ascii="Times New Roman" w:hAnsi="Times New Roman" w:cs="Times New Roman" w:eastAsiaTheme="minorEastAsia"/>
          <w:color w:val="FF0000"/>
        </w:rPr>
        <w:t>数</w:t>
      </w:r>
      <w:r>
        <w:rPr>
          <w:rFonts w:ascii="Times New Roman" w:hAnsi="Times New Roman" w:cs="Times New Roman" w:eastAsiaTheme="minorEastAsia"/>
          <w:color w:val="FF0000"/>
        </w:rPr>
        <w:t>差</w:t>
      </w:r>
      <w:r>
        <w:rPr>
          <w:rFonts w:hint="eastAsia" w:ascii="Times New Roman" w:hAnsi="Times New Roman" w:cs="Times New Roman" w:eastAsiaTheme="minorEastAsia"/>
          <w:color w:val="FF0000"/>
        </w:rPr>
        <w:t>异</w:t>
      </w:r>
      <w:r>
        <w:rPr>
          <w:rFonts w:ascii="Times New Roman" w:hAnsi="Times New Roman" w:cs="Times New Roman" w:eastAsiaTheme="minorEastAsia"/>
          <w:color w:val="FF0000"/>
        </w:rPr>
        <w:t>。</w:t>
      </w:r>
    </w:p>
    <w:p>
      <w:pPr>
        <w:pStyle w:val="8"/>
        <w:ind w:firstLine="0" w:firstLineChars="0"/>
        <w:jc w:val="left"/>
        <w:rPr>
          <w:rFonts w:ascii="黑体" w:hAnsi="仿宋" w:eastAsia="黑体"/>
          <w:sz w:val="32"/>
          <w:szCs w:val="32"/>
        </w:rPr>
      </w:pPr>
      <w:r>
        <w:rPr>
          <w:rFonts w:hint="eastAsia" w:ascii="黑体" w:hAnsi="仿宋" w:eastAsia="黑体"/>
          <w:sz w:val="32"/>
          <w:szCs w:val="32"/>
        </w:rPr>
        <w:t xml:space="preserve">六、一般公共预算财政拨款基本支出决算表 </w:t>
      </w:r>
    </w:p>
    <w:tbl>
      <w:tblPr>
        <w:tblStyle w:val="5"/>
        <w:tblW w:w="9643" w:type="dxa"/>
        <w:tblInd w:w="91" w:type="dxa"/>
        <w:tblLayout w:type="fixed"/>
        <w:tblCellMar>
          <w:top w:w="0" w:type="dxa"/>
          <w:left w:w="108" w:type="dxa"/>
          <w:bottom w:w="0" w:type="dxa"/>
          <w:right w:w="108" w:type="dxa"/>
        </w:tblCellMar>
      </w:tblPr>
      <w:tblGrid>
        <w:gridCol w:w="716"/>
        <w:gridCol w:w="1472"/>
        <w:gridCol w:w="946"/>
        <w:gridCol w:w="659"/>
        <w:gridCol w:w="763"/>
        <w:gridCol w:w="842"/>
        <w:gridCol w:w="795"/>
        <w:gridCol w:w="59"/>
        <w:gridCol w:w="808"/>
        <w:gridCol w:w="123"/>
        <w:gridCol w:w="593"/>
        <w:gridCol w:w="744"/>
        <w:gridCol w:w="1123"/>
      </w:tblGrid>
      <w:tr>
        <w:tblPrEx>
          <w:tblCellMar>
            <w:top w:w="0" w:type="dxa"/>
            <w:left w:w="108" w:type="dxa"/>
            <w:bottom w:w="0" w:type="dxa"/>
            <w:right w:w="108" w:type="dxa"/>
          </w:tblCellMar>
        </w:tblPrEx>
        <w:trPr>
          <w:trHeight w:val="440" w:hRule="atLeast"/>
        </w:trPr>
        <w:tc>
          <w:tcPr>
            <w:tcW w:w="9643" w:type="dxa"/>
            <w:gridSpan w:val="13"/>
            <w:tcBorders>
              <w:top w:val="nil"/>
              <w:left w:val="nil"/>
              <w:bottom w:val="nil"/>
              <w:right w:val="nil"/>
            </w:tcBorders>
            <w:shd w:val="clear" w:color="auto" w:fill="auto"/>
            <w:noWrap/>
            <w:vAlign w:val="center"/>
          </w:tcPr>
          <w:p>
            <w:pPr>
              <w:widowControl/>
              <w:spacing w:line="240" w:lineRule="auto"/>
              <w:jc w:val="center"/>
              <w:rPr>
                <w:rFonts w:ascii="黑体" w:hAnsi="Arial" w:eastAsia="黑体" w:cs="Arial"/>
                <w:color w:val="000000"/>
                <w:kern w:val="0"/>
                <w:sz w:val="44"/>
                <w:szCs w:val="44"/>
              </w:rPr>
            </w:pPr>
            <w:r>
              <w:rPr>
                <w:rFonts w:hint="eastAsia" w:ascii="黑体" w:hAnsi="Arial" w:eastAsia="黑体" w:cs="Arial"/>
                <w:color w:val="000000"/>
                <w:kern w:val="0"/>
                <w:sz w:val="36"/>
                <w:szCs w:val="36"/>
              </w:rPr>
              <w:t>一般公共预算财政拨款基本支出决算表</w:t>
            </w:r>
          </w:p>
        </w:tc>
      </w:tr>
      <w:tr>
        <w:tblPrEx>
          <w:tblCellMar>
            <w:top w:w="0" w:type="dxa"/>
            <w:left w:w="108" w:type="dxa"/>
            <w:bottom w:w="0" w:type="dxa"/>
            <w:right w:w="108" w:type="dxa"/>
          </w:tblCellMar>
        </w:tblPrEx>
        <w:trPr>
          <w:trHeight w:val="416" w:hRule="atLeast"/>
        </w:trPr>
        <w:tc>
          <w:tcPr>
            <w:tcW w:w="4556" w:type="dxa"/>
            <w:gridSpan w:val="5"/>
            <w:tcBorders>
              <w:top w:val="nil"/>
              <w:left w:val="nil"/>
              <w:bottom w:val="nil"/>
              <w:right w:val="nil"/>
            </w:tcBorders>
            <w:shd w:val="clear" w:color="auto" w:fill="auto"/>
            <w:noWrap/>
            <w:vAlign w:val="center"/>
          </w:tcPr>
          <w:p>
            <w:pPr>
              <w:widowControl/>
              <w:spacing w:line="240" w:lineRule="auto"/>
              <w:jc w:val="left"/>
              <w:rPr>
                <w:rFonts w:ascii="Arial" w:hAnsi="Arial" w:eastAsia="宋体" w:cs="Arial"/>
                <w:color w:val="000000"/>
                <w:kern w:val="0"/>
                <w:sz w:val="20"/>
                <w:szCs w:val="20"/>
              </w:rPr>
            </w:pPr>
            <w:r>
              <w:rPr>
                <w:rFonts w:hint="eastAsia" w:ascii="宋体" w:hAnsi="宋体" w:eastAsia="宋体" w:cs="Arial"/>
                <w:color w:val="000000"/>
                <w:kern w:val="0"/>
                <w:sz w:val="22"/>
              </w:rPr>
              <w:t>编制单位：连城县朋口镇人民政府</w:t>
            </w:r>
          </w:p>
        </w:tc>
        <w:tc>
          <w:tcPr>
            <w:tcW w:w="1637" w:type="dxa"/>
            <w:gridSpan w:val="2"/>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867" w:type="dxa"/>
            <w:gridSpan w:val="2"/>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716" w:type="dxa"/>
            <w:gridSpan w:val="2"/>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867" w:type="dxa"/>
            <w:gridSpan w:val="2"/>
            <w:tcBorders>
              <w:top w:val="nil"/>
              <w:left w:val="nil"/>
              <w:bottom w:val="nil"/>
              <w:right w:val="nil"/>
            </w:tcBorders>
            <w:shd w:val="clear" w:color="auto" w:fill="auto"/>
            <w:noWrap/>
            <w:vAlign w:val="bottom"/>
          </w:tcPr>
          <w:p>
            <w:pPr>
              <w:widowControl/>
              <w:spacing w:line="240" w:lineRule="auto"/>
              <w:jc w:val="right"/>
              <w:rPr>
                <w:rFonts w:ascii="宋体" w:hAnsi="宋体" w:eastAsia="宋体" w:cs="Arial"/>
                <w:color w:val="000000"/>
                <w:kern w:val="0"/>
                <w:sz w:val="22"/>
              </w:rPr>
            </w:pPr>
            <w:r>
              <w:rPr>
                <w:rFonts w:hint="eastAsia" w:ascii="宋体" w:hAnsi="宋体" w:eastAsia="宋体" w:cs="Arial"/>
                <w:color w:val="000000"/>
                <w:kern w:val="0"/>
                <w:sz w:val="22"/>
              </w:rPr>
              <w:t>单位：万元</w:t>
            </w:r>
          </w:p>
        </w:tc>
      </w:tr>
      <w:tr>
        <w:tblPrEx>
          <w:tblCellMar>
            <w:top w:w="0" w:type="dxa"/>
            <w:left w:w="108" w:type="dxa"/>
            <w:bottom w:w="0" w:type="dxa"/>
            <w:right w:w="108" w:type="dxa"/>
          </w:tblCellMar>
        </w:tblPrEx>
        <w:trPr>
          <w:trHeight w:val="295" w:hRule="exact"/>
        </w:trPr>
        <w:tc>
          <w:tcPr>
            <w:tcW w:w="313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人员经费</w:t>
            </w:r>
          </w:p>
        </w:tc>
        <w:tc>
          <w:tcPr>
            <w:tcW w:w="6509" w:type="dxa"/>
            <w:gridSpan w:val="10"/>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公用经费</w:t>
            </w:r>
          </w:p>
        </w:tc>
      </w:tr>
      <w:tr>
        <w:tblPrEx>
          <w:tblCellMar>
            <w:top w:w="0" w:type="dxa"/>
            <w:left w:w="108" w:type="dxa"/>
            <w:bottom w:w="0" w:type="dxa"/>
            <w:right w:w="108" w:type="dxa"/>
          </w:tblCellMar>
        </w:tblPrEx>
        <w:trPr>
          <w:trHeight w:val="312" w:hRule="exact"/>
        </w:trPr>
        <w:tc>
          <w:tcPr>
            <w:tcW w:w="71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经济分类科目</w:t>
            </w:r>
            <w:r>
              <w:rPr>
                <w:rFonts w:hint="eastAsia" w:ascii="宋体" w:hAnsi="宋体" w:eastAsia="宋体" w:cs="Arial"/>
                <w:color w:val="000000"/>
                <w:kern w:val="0"/>
                <w:sz w:val="22"/>
              </w:rPr>
              <w:br w:type="textWrapping"/>
            </w:r>
            <w:r>
              <w:rPr>
                <w:rFonts w:hint="eastAsia" w:ascii="宋体" w:hAnsi="宋体" w:eastAsia="宋体" w:cs="Arial"/>
                <w:color w:val="000000"/>
                <w:kern w:val="0"/>
                <w:sz w:val="22"/>
              </w:rPr>
              <w:t>编码</w:t>
            </w:r>
          </w:p>
        </w:tc>
        <w:tc>
          <w:tcPr>
            <w:tcW w:w="1472"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946"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65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经济分类科目</w:t>
            </w:r>
            <w:r>
              <w:rPr>
                <w:rFonts w:hint="eastAsia" w:ascii="宋体" w:hAnsi="宋体" w:eastAsia="宋体" w:cs="Arial"/>
                <w:color w:val="000000"/>
                <w:kern w:val="0"/>
                <w:sz w:val="22"/>
              </w:rPr>
              <w:br w:type="textWrapping"/>
            </w:r>
            <w:r>
              <w:rPr>
                <w:rFonts w:hint="eastAsia" w:ascii="宋体" w:hAnsi="宋体" w:eastAsia="宋体" w:cs="Arial"/>
                <w:color w:val="000000"/>
                <w:kern w:val="0"/>
                <w:sz w:val="22"/>
              </w:rPr>
              <w:t>编码</w:t>
            </w:r>
          </w:p>
        </w:tc>
        <w:tc>
          <w:tcPr>
            <w:tcW w:w="1605"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854"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931"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经济分类科目</w:t>
            </w:r>
            <w:r>
              <w:rPr>
                <w:rFonts w:hint="eastAsia" w:ascii="宋体" w:hAnsi="宋体" w:eastAsia="宋体" w:cs="Arial"/>
                <w:color w:val="000000"/>
                <w:kern w:val="0"/>
                <w:sz w:val="22"/>
              </w:rPr>
              <w:br w:type="textWrapping"/>
            </w:r>
            <w:r>
              <w:rPr>
                <w:rFonts w:hint="eastAsia" w:ascii="宋体" w:hAnsi="宋体" w:eastAsia="宋体" w:cs="Arial"/>
                <w:color w:val="000000"/>
                <w:kern w:val="0"/>
                <w:sz w:val="22"/>
              </w:rPr>
              <w:t>编码</w:t>
            </w:r>
          </w:p>
        </w:tc>
        <w:tc>
          <w:tcPr>
            <w:tcW w:w="1337"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12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r>
      <w:tr>
        <w:tblPrEx>
          <w:tblCellMar>
            <w:top w:w="0" w:type="dxa"/>
            <w:left w:w="108" w:type="dxa"/>
            <w:bottom w:w="0" w:type="dxa"/>
            <w:right w:w="108" w:type="dxa"/>
          </w:tblCellMar>
        </w:tblPrEx>
        <w:trPr>
          <w:trHeight w:val="312" w:hRule="exact"/>
        </w:trPr>
        <w:tc>
          <w:tcPr>
            <w:tcW w:w="716"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1472"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946"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659"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1605"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854"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931"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1337"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1123"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r>
      <w:tr>
        <w:tblPrEx>
          <w:tblCellMar>
            <w:top w:w="0" w:type="dxa"/>
            <w:left w:w="108" w:type="dxa"/>
            <w:bottom w:w="0" w:type="dxa"/>
            <w:right w:w="108" w:type="dxa"/>
          </w:tblCellMar>
        </w:tblPrEx>
        <w:trPr>
          <w:trHeight w:val="312" w:hRule="exact"/>
        </w:trPr>
        <w:tc>
          <w:tcPr>
            <w:tcW w:w="716"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1472"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946"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659"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1605"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854"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931"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1337"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c>
          <w:tcPr>
            <w:tcW w:w="1123"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color w:val="000000"/>
                <w:kern w:val="0"/>
                <w:sz w:val="22"/>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工资福利支出</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0"/>
                <w:szCs w:val="20"/>
              </w:rPr>
              <w:t>710.89</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商品和服务支出</w:t>
            </w:r>
          </w:p>
        </w:tc>
        <w:tc>
          <w:tcPr>
            <w:tcW w:w="854" w:type="dxa"/>
            <w:gridSpan w:val="2"/>
            <w:tcBorders>
              <w:top w:val="nil"/>
              <w:left w:val="nil"/>
              <w:bottom w:val="single" w:color="auto" w:sz="4" w:space="0"/>
              <w:right w:val="single" w:color="auto" w:sz="4" w:space="0"/>
            </w:tcBorders>
            <w:shd w:val="clear" w:color="auto" w:fill="auto"/>
            <w:noWrap/>
            <w:vAlign w:val="bottom"/>
          </w:tcPr>
          <w:p>
            <w:pPr>
              <w:widowControl/>
              <w:jc w:val="right"/>
              <w:textAlignment w:val="bottom"/>
              <w:rPr>
                <w:rFonts w:ascii="Arial" w:hAnsi="Arial" w:eastAsia="宋体" w:cs="Arial"/>
                <w:color w:val="000000"/>
                <w:kern w:val="0"/>
                <w:sz w:val="20"/>
                <w:szCs w:val="20"/>
              </w:rPr>
            </w:pPr>
            <w:r>
              <w:rPr>
                <w:rFonts w:hint="eastAsia" w:ascii="宋体" w:hAnsi="宋体" w:eastAsia="宋体" w:cs="宋体"/>
                <w:color w:val="000000"/>
                <w:kern w:val="0"/>
                <w:sz w:val="20"/>
                <w:szCs w:val="20"/>
              </w:rPr>
              <w:t>398.71</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资本性支出</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12.18</w:t>
            </w: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30101</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基本工资</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0"/>
                <w:szCs w:val="20"/>
              </w:rPr>
              <w:t>220.86</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30201</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办公费</w:t>
            </w:r>
          </w:p>
        </w:tc>
        <w:tc>
          <w:tcPr>
            <w:tcW w:w="854" w:type="dxa"/>
            <w:gridSpan w:val="2"/>
            <w:tcBorders>
              <w:top w:val="nil"/>
              <w:left w:val="nil"/>
              <w:bottom w:val="single" w:color="auto" w:sz="4" w:space="0"/>
              <w:right w:val="single" w:color="auto" w:sz="4" w:space="0"/>
            </w:tcBorders>
            <w:shd w:val="clear" w:color="auto" w:fill="auto"/>
            <w:noWrap/>
            <w:vAlign w:val="bottom"/>
          </w:tcPr>
          <w:p>
            <w:pPr>
              <w:widowControl/>
              <w:jc w:val="right"/>
              <w:textAlignment w:val="bottom"/>
              <w:rPr>
                <w:rFonts w:ascii="Arial" w:hAnsi="Arial" w:eastAsia="宋体" w:cs="Arial"/>
                <w:color w:val="000000"/>
                <w:kern w:val="0"/>
                <w:sz w:val="20"/>
                <w:szCs w:val="20"/>
              </w:rPr>
            </w:pPr>
            <w:r>
              <w:rPr>
                <w:rFonts w:hint="eastAsia" w:ascii="宋体" w:hAnsi="宋体" w:eastAsia="宋体" w:cs="宋体"/>
                <w:color w:val="000000"/>
                <w:kern w:val="0"/>
                <w:sz w:val="20"/>
                <w:szCs w:val="20"/>
              </w:rPr>
              <w:t>220.10</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31001</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房屋建筑物购建</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30102</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津贴补贴</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0"/>
                <w:szCs w:val="20"/>
              </w:rPr>
              <w:t>154.22</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30202</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印刷费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12.45</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31002</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办公设备购置</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12.18</w:t>
            </w: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30103</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奖金</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0"/>
                <w:szCs w:val="20"/>
              </w:rPr>
              <w:t>9.31</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30203</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咨询费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31003</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专用设备购置</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30106</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伙食补助费</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21.54</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30204</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手续费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31005</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基础设施建设</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30107</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绩效工资</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17.03</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30205</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水费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31006</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大型修缮</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30108</w:t>
            </w:r>
          </w:p>
        </w:tc>
        <w:tc>
          <w:tcPr>
            <w:tcW w:w="1472"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机关事业单位基本养老保险缴费</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0"/>
                <w:szCs w:val="20"/>
              </w:rPr>
              <w:t>62.56</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30206</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电费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33.40</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31007</w:t>
            </w:r>
          </w:p>
        </w:tc>
        <w:tc>
          <w:tcPr>
            <w:tcW w:w="1337" w:type="dxa"/>
            <w:gridSpan w:val="2"/>
            <w:tcBorders>
              <w:top w:val="nil"/>
              <w:left w:val="nil"/>
              <w:bottom w:val="single" w:color="auto" w:sz="4" w:space="0"/>
              <w:right w:val="single" w:color="auto" w:sz="4" w:space="0"/>
            </w:tcBorders>
            <w:shd w:val="clear" w:color="auto" w:fill="auto"/>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信息网络及软件购置更新</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30109</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职业年金缴费</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0"/>
                <w:szCs w:val="20"/>
              </w:rPr>
              <w:t>4.01</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30207</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邮电费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19.35</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31008</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物资储备</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30110</w:t>
            </w:r>
          </w:p>
        </w:tc>
        <w:tc>
          <w:tcPr>
            <w:tcW w:w="1472" w:type="dxa"/>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xml:space="preserve">   </w:t>
            </w:r>
            <w:r>
              <w:rPr>
                <w:rFonts w:hint="eastAsia" w:ascii="宋体" w:hAnsi="宋体" w:eastAsia="宋体" w:cs="Arial"/>
                <w:color w:val="000000"/>
                <w:kern w:val="0"/>
                <w:sz w:val="20"/>
                <w:szCs w:val="20"/>
              </w:rPr>
              <w:t>职工基本医疗保险缴费</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0"/>
                <w:szCs w:val="20"/>
              </w:rPr>
              <w:t>30.05</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302019</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取暖费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31009</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土地补偿</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30111</w:t>
            </w:r>
          </w:p>
        </w:tc>
        <w:tc>
          <w:tcPr>
            <w:tcW w:w="1472" w:type="dxa"/>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xml:space="preserve">   </w:t>
            </w:r>
            <w:r>
              <w:rPr>
                <w:rFonts w:hint="eastAsia" w:ascii="宋体" w:hAnsi="宋体" w:eastAsia="宋体" w:cs="Arial"/>
                <w:color w:val="000000"/>
                <w:kern w:val="0"/>
                <w:sz w:val="20"/>
                <w:szCs w:val="20"/>
              </w:rPr>
              <w:t>公务员医疗补助缴费</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0"/>
                <w:szCs w:val="20"/>
              </w:rPr>
              <w:t>21.88</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30209</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物业管理费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31010</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安置补助</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30112</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其他社会保障缴费</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0"/>
                <w:szCs w:val="20"/>
              </w:rPr>
              <w:t>3.50</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30211</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差旅费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2.53</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31011</w:t>
            </w:r>
          </w:p>
        </w:tc>
        <w:tc>
          <w:tcPr>
            <w:tcW w:w="1337" w:type="dxa"/>
            <w:gridSpan w:val="2"/>
            <w:tcBorders>
              <w:top w:val="nil"/>
              <w:left w:val="nil"/>
              <w:bottom w:val="single" w:color="auto" w:sz="4" w:space="0"/>
              <w:right w:val="single" w:color="auto" w:sz="4" w:space="0"/>
            </w:tcBorders>
            <w:shd w:val="clear" w:color="auto" w:fill="auto"/>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地上附着物和青苗补偿</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30113</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住房公积金</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0"/>
                <w:szCs w:val="20"/>
              </w:rPr>
              <w:t>68.57</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30212</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因公出国(境)费用 </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31012</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拆迁补偿</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30114</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医疗费</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30213</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维修(护)费</w:t>
            </w:r>
          </w:p>
        </w:tc>
        <w:tc>
          <w:tcPr>
            <w:tcW w:w="854" w:type="dxa"/>
            <w:gridSpan w:val="2"/>
            <w:tcBorders>
              <w:top w:val="nil"/>
              <w:left w:val="nil"/>
              <w:bottom w:val="single" w:color="auto" w:sz="4" w:space="0"/>
              <w:right w:val="single" w:color="auto" w:sz="4" w:space="0"/>
            </w:tcBorders>
            <w:shd w:val="clear" w:color="auto" w:fill="auto"/>
            <w:noWrap/>
            <w:vAlign w:val="bottom"/>
          </w:tcPr>
          <w:p>
            <w:pPr>
              <w:widowControl/>
              <w:jc w:val="right"/>
              <w:textAlignment w:val="bottom"/>
              <w:rPr>
                <w:rFonts w:ascii="Arial" w:hAnsi="Arial" w:eastAsia="宋体" w:cs="Arial"/>
                <w:color w:val="000000"/>
                <w:kern w:val="0"/>
                <w:sz w:val="20"/>
                <w:szCs w:val="20"/>
              </w:rPr>
            </w:pPr>
            <w:r>
              <w:rPr>
                <w:rFonts w:hint="eastAsia" w:ascii="宋体" w:hAnsi="宋体" w:eastAsia="宋体" w:cs="宋体"/>
                <w:color w:val="000000"/>
                <w:kern w:val="0"/>
                <w:sz w:val="20"/>
                <w:szCs w:val="20"/>
              </w:rPr>
              <w:t>9.95</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31013</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公务用车购置</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30199</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其他工资福利支出</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0"/>
                <w:szCs w:val="20"/>
              </w:rPr>
              <w:t>97.37</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30214</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租赁费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3.75</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31019</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其他交通工具购置</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对个人和家庭的补助</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0"/>
                <w:szCs w:val="20"/>
              </w:rPr>
              <w:t>308.72</w:t>
            </w:r>
          </w:p>
        </w:tc>
        <w:tc>
          <w:tcPr>
            <w:tcW w:w="65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30215</w:t>
            </w:r>
          </w:p>
        </w:tc>
        <w:tc>
          <w:tcPr>
            <w:tcW w:w="160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会议费</w:t>
            </w:r>
          </w:p>
        </w:tc>
        <w:tc>
          <w:tcPr>
            <w:tcW w:w="8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2.09</w:t>
            </w:r>
          </w:p>
        </w:tc>
        <w:tc>
          <w:tcPr>
            <w:tcW w:w="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31021</w:t>
            </w:r>
          </w:p>
        </w:tc>
        <w:tc>
          <w:tcPr>
            <w:tcW w:w="13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文物和陈列品购置</w:t>
            </w:r>
          </w:p>
        </w:tc>
        <w:tc>
          <w:tcPr>
            <w:tcW w:w="11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30301</w:t>
            </w:r>
          </w:p>
        </w:tc>
        <w:tc>
          <w:tcPr>
            <w:tcW w:w="1472"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离休费</w:t>
            </w:r>
          </w:p>
        </w:tc>
        <w:tc>
          <w:tcPr>
            <w:tcW w:w="946" w:type="dxa"/>
            <w:tcBorders>
              <w:top w:val="single" w:color="auto" w:sz="4" w:space="0"/>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65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30216</w:t>
            </w:r>
          </w:p>
        </w:tc>
        <w:tc>
          <w:tcPr>
            <w:tcW w:w="160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培训费</w:t>
            </w:r>
          </w:p>
        </w:tc>
        <w:tc>
          <w:tcPr>
            <w:tcW w:w="854"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0.18</w:t>
            </w:r>
          </w:p>
        </w:tc>
        <w:tc>
          <w:tcPr>
            <w:tcW w:w="93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31022</w:t>
            </w:r>
          </w:p>
        </w:tc>
        <w:tc>
          <w:tcPr>
            <w:tcW w:w="133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无形资产购置</w:t>
            </w:r>
          </w:p>
        </w:tc>
        <w:tc>
          <w:tcPr>
            <w:tcW w:w="1123" w:type="dxa"/>
            <w:tcBorders>
              <w:top w:val="single" w:color="auto" w:sz="4" w:space="0"/>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30302</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退休费</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30217</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公务接待费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23.12</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31099</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其他资本性支出</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30303</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退职(役)费</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30218</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专用材料费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对企业补助</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30304</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抚恤金</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30224</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被装购置费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31201</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资本金注入</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30305</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生活补助</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0"/>
                <w:szCs w:val="20"/>
              </w:rPr>
              <w:t>257.75</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30225</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专用燃料费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31203</w:t>
            </w:r>
          </w:p>
        </w:tc>
        <w:tc>
          <w:tcPr>
            <w:tcW w:w="1337" w:type="dxa"/>
            <w:gridSpan w:val="2"/>
            <w:tcBorders>
              <w:top w:val="nil"/>
              <w:left w:val="nil"/>
              <w:bottom w:val="single" w:color="auto" w:sz="4" w:space="0"/>
              <w:right w:val="single" w:color="auto" w:sz="4" w:space="0"/>
            </w:tcBorders>
            <w:shd w:val="clear" w:color="auto" w:fill="auto"/>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政府投资基金股权投资</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30306</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救济费</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30226</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劳务费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22.62</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31204</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费用补贴</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30307</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医疗费补助</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30227</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委托业务费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31205</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利息补贴</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30308</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助学金</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30228</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工会经费</w:t>
            </w:r>
          </w:p>
        </w:tc>
        <w:tc>
          <w:tcPr>
            <w:tcW w:w="854" w:type="dxa"/>
            <w:gridSpan w:val="2"/>
            <w:tcBorders>
              <w:top w:val="nil"/>
              <w:left w:val="nil"/>
              <w:bottom w:val="single" w:color="auto" w:sz="4" w:space="0"/>
              <w:right w:val="single" w:color="auto" w:sz="4" w:space="0"/>
            </w:tcBorders>
            <w:shd w:val="clear" w:color="auto" w:fill="auto"/>
            <w:noWrap/>
            <w:vAlign w:val="bottom"/>
          </w:tcPr>
          <w:p>
            <w:pPr>
              <w:widowControl/>
              <w:jc w:val="right"/>
              <w:textAlignment w:val="bottom"/>
              <w:rPr>
                <w:rFonts w:ascii="Arial" w:hAnsi="Arial" w:eastAsia="宋体" w:cs="Arial"/>
                <w:color w:val="000000"/>
                <w:kern w:val="0"/>
                <w:sz w:val="20"/>
                <w:szCs w:val="20"/>
              </w:rPr>
            </w:pPr>
            <w:r>
              <w:rPr>
                <w:rFonts w:hint="eastAsia" w:ascii="宋体" w:hAnsi="宋体" w:eastAsia="宋体" w:cs="宋体"/>
                <w:color w:val="000000"/>
                <w:kern w:val="0"/>
                <w:sz w:val="20"/>
                <w:szCs w:val="20"/>
              </w:rPr>
              <w:t>4.40</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31299</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其他对企业补助</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30309</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奖励金</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65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30229</w:t>
            </w:r>
          </w:p>
        </w:tc>
        <w:tc>
          <w:tcPr>
            <w:tcW w:w="160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福利费</w:t>
            </w:r>
          </w:p>
        </w:tc>
        <w:tc>
          <w:tcPr>
            <w:tcW w:w="8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399</w:t>
            </w:r>
          </w:p>
        </w:tc>
        <w:tc>
          <w:tcPr>
            <w:tcW w:w="13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其他支出</w:t>
            </w:r>
          </w:p>
        </w:tc>
        <w:tc>
          <w:tcPr>
            <w:tcW w:w="112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right"/>
              <w:textAlignment w:val="bottom"/>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30310</w:t>
            </w:r>
          </w:p>
        </w:tc>
        <w:tc>
          <w:tcPr>
            <w:tcW w:w="1472"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个人农业生产补贴</w:t>
            </w:r>
          </w:p>
        </w:tc>
        <w:tc>
          <w:tcPr>
            <w:tcW w:w="946" w:type="dxa"/>
            <w:tcBorders>
              <w:top w:val="single" w:color="auto" w:sz="4" w:space="0"/>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65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30231</w:t>
            </w:r>
          </w:p>
        </w:tc>
        <w:tc>
          <w:tcPr>
            <w:tcW w:w="160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公务用车运行维护费</w:t>
            </w:r>
          </w:p>
        </w:tc>
        <w:tc>
          <w:tcPr>
            <w:tcW w:w="854"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r>
              <w:rPr>
                <w:rFonts w:hint="eastAsia" w:ascii="宋体" w:hAnsi="宋体" w:eastAsia="宋体" w:cs="宋体"/>
                <w:color w:val="000000"/>
                <w:kern w:val="0"/>
                <w:sz w:val="22"/>
              </w:rPr>
              <w:t>7.83</w:t>
            </w:r>
          </w:p>
        </w:tc>
        <w:tc>
          <w:tcPr>
            <w:tcW w:w="93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39906</w:t>
            </w:r>
          </w:p>
        </w:tc>
        <w:tc>
          <w:tcPr>
            <w:tcW w:w="133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赠与</w:t>
            </w:r>
          </w:p>
        </w:tc>
        <w:tc>
          <w:tcPr>
            <w:tcW w:w="1123" w:type="dxa"/>
            <w:tcBorders>
              <w:top w:val="single" w:color="auto" w:sz="4" w:space="0"/>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30311</w:t>
            </w:r>
          </w:p>
        </w:tc>
        <w:tc>
          <w:tcPr>
            <w:tcW w:w="1472"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代缴社会保险费</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30239</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其他交通费用</w:t>
            </w:r>
          </w:p>
        </w:tc>
        <w:tc>
          <w:tcPr>
            <w:tcW w:w="854" w:type="dxa"/>
            <w:gridSpan w:val="2"/>
            <w:tcBorders>
              <w:top w:val="nil"/>
              <w:left w:val="nil"/>
              <w:bottom w:val="single" w:color="auto" w:sz="4" w:space="0"/>
              <w:right w:val="single" w:color="auto" w:sz="4" w:space="0"/>
            </w:tcBorders>
            <w:shd w:val="clear" w:color="auto" w:fill="auto"/>
            <w:noWrap/>
            <w:vAlign w:val="bottom"/>
          </w:tcPr>
          <w:p>
            <w:pPr>
              <w:widowControl/>
              <w:jc w:val="right"/>
              <w:textAlignment w:val="bottom"/>
              <w:rPr>
                <w:rFonts w:ascii="Arial" w:hAnsi="Arial" w:eastAsia="宋体" w:cs="Arial"/>
                <w:color w:val="000000"/>
                <w:kern w:val="0"/>
                <w:sz w:val="20"/>
                <w:szCs w:val="20"/>
              </w:rPr>
            </w:pPr>
            <w:r>
              <w:rPr>
                <w:rFonts w:hint="eastAsia" w:ascii="宋体" w:hAnsi="宋体" w:eastAsia="宋体" w:cs="宋体"/>
                <w:color w:val="000000"/>
                <w:kern w:val="0"/>
                <w:sz w:val="20"/>
                <w:szCs w:val="20"/>
              </w:rPr>
              <w:t>36.95</w:t>
            </w: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39907</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国家赔偿费用支出</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30399</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其他对个人和家庭的补助支出</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Arial"/>
                <w:color w:val="000000"/>
                <w:kern w:val="0"/>
                <w:sz w:val="22"/>
              </w:rPr>
            </w:pPr>
            <w:r>
              <w:rPr>
                <w:rFonts w:hint="eastAsia" w:ascii="宋体" w:hAnsi="宋体" w:eastAsia="宋体" w:cs="宋体"/>
                <w:color w:val="000000"/>
                <w:kern w:val="0"/>
                <w:sz w:val="20"/>
                <w:szCs w:val="20"/>
              </w:rPr>
              <w:t>50.98</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30240</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税金及附加费用</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39908</w:t>
            </w:r>
          </w:p>
        </w:tc>
        <w:tc>
          <w:tcPr>
            <w:tcW w:w="1337" w:type="dxa"/>
            <w:gridSpan w:val="2"/>
            <w:tcBorders>
              <w:top w:val="nil"/>
              <w:left w:val="nil"/>
              <w:bottom w:val="single" w:color="auto" w:sz="4" w:space="0"/>
              <w:right w:val="single" w:color="auto" w:sz="4" w:space="0"/>
            </w:tcBorders>
            <w:shd w:val="clear" w:color="auto" w:fill="auto"/>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对民间非营利组织和群众性自治组织补贴</w:t>
            </w:r>
          </w:p>
        </w:tc>
        <w:tc>
          <w:tcPr>
            <w:tcW w:w="1123" w:type="dxa"/>
            <w:tcBorders>
              <w:top w:val="nil"/>
              <w:left w:val="nil"/>
              <w:bottom w:val="single" w:color="auto" w:sz="4" w:space="0"/>
              <w:right w:val="single" w:color="auto" w:sz="4" w:space="0"/>
            </w:tcBorders>
            <w:shd w:val="clear" w:color="auto" w:fill="auto"/>
            <w:noWrap/>
            <w:vAlign w:val="bottom"/>
          </w:tcPr>
          <w:p>
            <w:pPr>
              <w:widowControl/>
              <w:ind w:right="200"/>
              <w:jc w:val="right"/>
              <w:textAlignment w:val="bottom"/>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946" w:type="dxa"/>
            <w:tcBorders>
              <w:top w:val="nil"/>
              <w:left w:val="nil"/>
              <w:bottom w:val="single" w:color="auto" w:sz="4" w:space="0"/>
              <w:right w:val="single" w:color="auto" w:sz="4" w:space="0"/>
            </w:tcBorders>
            <w:shd w:val="clear" w:color="auto" w:fill="auto"/>
            <w:noWrap/>
            <w:vAlign w:val="center"/>
          </w:tcPr>
          <w:p>
            <w:pPr>
              <w:widowControl/>
              <w:spacing w:line="240" w:lineRule="auto"/>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30299</w:t>
            </w:r>
          </w:p>
        </w:tc>
        <w:tc>
          <w:tcPr>
            <w:tcW w:w="1605" w:type="dxa"/>
            <w:gridSpan w:val="2"/>
            <w:tcBorders>
              <w:top w:val="nil"/>
              <w:left w:val="nil"/>
              <w:bottom w:val="single" w:color="auto" w:sz="4" w:space="0"/>
              <w:right w:val="single" w:color="auto" w:sz="4" w:space="0"/>
            </w:tcBorders>
            <w:shd w:val="clear" w:color="auto" w:fill="auto"/>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其他商品和服务支出</w:t>
            </w:r>
          </w:p>
        </w:tc>
        <w:tc>
          <w:tcPr>
            <w:tcW w:w="854" w:type="dxa"/>
            <w:gridSpan w:val="2"/>
            <w:tcBorders>
              <w:top w:val="nil"/>
              <w:left w:val="nil"/>
              <w:bottom w:val="single" w:color="auto" w:sz="4" w:space="0"/>
              <w:right w:val="single" w:color="auto" w:sz="4" w:space="0"/>
            </w:tcBorders>
            <w:shd w:val="clear" w:color="auto" w:fill="auto"/>
            <w:noWrap/>
            <w:vAlign w:val="bottom"/>
          </w:tcPr>
          <w:p>
            <w:pPr>
              <w:widowControl/>
              <w:jc w:val="right"/>
              <w:textAlignment w:val="bottom"/>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39999</w:t>
            </w:r>
          </w:p>
        </w:tc>
        <w:tc>
          <w:tcPr>
            <w:tcW w:w="1337"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其他支出</w:t>
            </w:r>
          </w:p>
        </w:tc>
        <w:tc>
          <w:tcPr>
            <w:tcW w:w="112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946" w:type="dxa"/>
            <w:tcBorders>
              <w:top w:val="nil"/>
              <w:left w:val="nil"/>
              <w:bottom w:val="single" w:color="auto" w:sz="4" w:space="0"/>
              <w:right w:val="single" w:color="auto" w:sz="4" w:space="0"/>
            </w:tcBorders>
            <w:shd w:val="clear" w:color="auto" w:fill="auto"/>
            <w:noWrap/>
            <w:vAlign w:val="center"/>
          </w:tcPr>
          <w:p>
            <w:pPr>
              <w:widowControl/>
              <w:spacing w:line="240" w:lineRule="auto"/>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307</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债务利息支出</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337" w:type="dxa"/>
            <w:gridSpan w:val="2"/>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123" w:type="dxa"/>
            <w:tcBorders>
              <w:top w:val="nil"/>
              <w:left w:val="nil"/>
              <w:bottom w:val="single" w:color="auto" w:sz="4" w:space="0"/>
              <w:right w:val="single" w:color="auto" w:sz="4" w:space="0"/>
            </w:tcBorders>
            <w:shd w:val="clear" w:color="auto" w:fill="auto"/>
            <w:noWrap/>
            <w:vAlign w:val="bottom"/>
          </w:tcPr>
          <w:p>
            <w:pP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1472"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946" w:type="dxa"/>
            <w:tcBorders>
              <w:top w:val="nil"/>
              <w:left w:val="nil"/>
              <w:bottom w:val="single" w:color="auto" w:sz="4" w:space="0"/>
              <w:right w:val="single" w:color="auto" w:sz="4" w:space="0"/>
            </w:tcBorders>
            <w:shd w:val="clear" w:color="auto" w:fill="auto"/>
            <w:noWrap/>
            <w:vAlign w:val="center"/>
          </w:tcPr>
          <w:p>
            <w:pPr>
              <w:widowControl/>
              <w:spacing w:line="240" w:lineRule="auto"/>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30701</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国内债务付息</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337" w:type="dxa"/>
            <w:gridSpan w:val="2"/>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123" w:type="dxa"/>
            <w:tcBorders>
              <w:top w:val="nil"/>
              <w:left w:val="nil"/>
              <w:bottom w:val="single" w:color="auto" w:sz="4" w:space="0"/>
              <w:right w:val="single" w:color="auto" w:sz="4" w:space="0"/>
            </w:tcBorders>
            <w:shd w:val="clear" w:color="auto" w:fill="auto"/>
            <w:noWrap/>
            <w:vAlign w:val="bottom"/>
          </w:tcPr>
          <w:p>
            <w:pP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472" w:type="dxa"/>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946" w:type="dxa"/>
            <w:tcBorders>
              <w:top w:val="nil"/>
              <w:left w:val="nil"/>
              <w:bottom w:val="single" w:color="auto" w:sz="4" w:space="0"/>
              <w:right w:val="single" w:color="auto" w:sz="4" w:space="0"/>
            </w:tcBorders>
            <w:shd w:val="clear" w:color="auto" w:fill="auto"/>
            <w:noWrap/>
            <w:vAlign w:val="center"/>
          </w:tcPr>
          <w:p>
            <w:pPr>
              <w:widowControl/>
              <w:spacing w:line="240" w:lineRule="auto"/>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30702</w:t>
            </w: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国外债务付息</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337" w:type="dxa"/>
            <w:gridSpan w:val="2"/>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123" w:type="dxa"/>
            <w:tcBorders>
              <w:top w:val="nil"/>
              <w:left w:val="nil"/>
              <w:bottom w:val="single" w:color="auto" w:sz="4" w:space="0"/>
              <w:right w:val="single" w:color="auto" w:sz="4" w:space="0"/>
            </w:tcBorders>
            <w:shd w:val="clear" w:color="auto" w:fill="auto"/>
            <w:noWrap/>
            <w:vAlign w:val="bottom"/>
          </w:tcPr>
          <w:p>
            <w:pP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472" w:type="dxa"/>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946" w:type="dxa"/>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ind w:right="110"/>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337" w:type="dxa"/>
            <w:gridSpan w:val="2"/>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123" w:type="dxa"/>
            <w:tcBorders>
              <w:top w:val="nil"/>
              <w:left w:val="nil"/>
              <w:bottom w:val="single" w:color="auto" w:sz="4" w:space="0"/>
              <w:right w:val="single" w:color="auto" w:sz="4" w:space="0"/>
            </w:tcBorders>
            <w:shd w:val="clear" w:color="auto" w:fill="auto"/>
            <w:noWrap/>
            <w:vAlign w:val="bottom"/>
          </w:tcPr>
          <w:p>
            <w:pP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716" w:type="dxa"/>
            <w:tcBorders>
              <w:top w:val="nil"/>
              <w:left w:val="single" w:color="auto" w:sz="4" w:space="0"/>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472" w:type="dxa"/>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946" w:type="dxa"/>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659" w:type="dxa"/>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p>
        </w:tc>
        <w:tc>
          <w:tcPr>
            <w:tcW w:w="1605" w:type="dxa"/>
            <w:gridSpan w:val="2"/>
            <w:tcBorders>
              <w:top w:val="nil"/>
              <w:left w:val="nil"/>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Arial" w:hAnsi="Arial" w:eastAsia="宋体" w:cs="Arial"/>
                <w:color w:val="000000"/>
                <w:kern w:val="0"/>
                <w:sz w:val="20"/>
                <w:szCs w:val="20"/>
              </w:rPr>
            </w:pPr>
          </w:p>
        </w:tc>
        <w:tc>
          <w:tcPr>
            <w:tcW w:w="931" w:type="dxa"/>
            <w:gridSpan w:val="2"/>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337" w:type="dxa"/>
            <w:gridSpan w:val="2"/>
            <w:tcBorders>
              <w:top w:val="nil"/>
              <w:left w:val="nil"/>
              <w:bottom w:val="single" w:color="auto" w:sz="4" w:space="0"/>
              <w:right w:val="single" w:color="auto" w:sz="4" w:space="0"/>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123" w:type="dxa"/>
            <w:tcBorders>
              <w:top w:val="nil"/>
              <w:left w:val="nil"/>
              <w:bottom w:val="single" w:color="auto" w:sz="4" w:space="0"/>
              <w:right w:val="single" w:color="auto" w:sz="4" w:space="0"/>
            </w:tcBorders>
            <w:shd w:val="clear" w:color="auto" w:fill="auto"/>
            <w:noWrap/>
            <w:vAlign w:val="bottom"/>
          </w:tcPr>
          <w:p>
            <w:pPr>
              <w:rPr>
                <w:rFonts w:ascii="Arial" w:hAnsi="Arial" w:eastAsia="宋体" w:cs="Arial"/>
                <w:color w:val="000000"/>
                <w:kern w:val="0"/>
                <w:sz w:val="20"/>
                <w:szCs w:val="20"/>
              </w:rPr>
            </w:pPr>
          </w:p>
        </w:tc>
      </w:tr>
      <w:tr>
        <w:tblPrEx>
          <w:tblCellMar>
            <w:top w:w="0" w:type="dxa"/>
            <w:left w:w="108" w:type="dxa"/>
            <w:bottom w:w="0" w:type="dxa"/>
            <w:right w:w="108" w:type="dxa"/>
          </w:tblCellMar>
        </w:tblPrEx>
        <w:trPr>
          <w:trHeight w:val="295" w:hRule="exact"/>
        </w:trPr>
        <w:tc>
          <w:tcPr>
            <w:tcW w:w="21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人员经费合计</w:t>
            </w:r>
          </w:p>
        </w:tc>
        <w:tc>
          <w:tcPr>
            <w:tcW w:w="94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1019.62</w:t>
            </w:r>
          </w:p>
        </w:tc>
        <w:tc>
          <w:tcPr>
            <w:tcW w:w="5386" w:type="dxa"/>
            <w:gridSpan w:val="9"/>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公用经费合计</w:t>
            </w:r>
          </w:p>
        </w:tc>
        <w:tc>
          <w:tcPr>
            <w:tcW w:w="1123" w:type="dxa"/>
            <w:tcBorders>
              <w:top w:val="nil"/>
              <w:left w:val="nil"/>
              <w:bottom w:val="single" w:color="auto" w:sz="4" w:space="0"/>
              <w:right w:val="single" w:color="auto" w:sz="4" w:space="0"/>
            </w:tcBorders>
            <w:shd w:val="clear" w:color="auto" w:fill="auto"/>
            <w:noWrap/>
            <w:vAlign w:val="bottom"/>
          </w:tcPr>
          <w:p>
            <w:pPr>
              <w:widowControl/>
              <w:jc w:val="right"/>
              <w:textAlignment w:val="bottom"/>
              <w:rPr>
                <w:rFonts w:ascii="Arial" w:hAnsi="Arial" w:eastAsia="宋体" w:cs="Arial"/>
                <w:color w:val="000000"/>
                <w:kern w:val="0"/>
                <w:sz w:val="20"/>
                <w:szCs w:val="20"/>
              </w:rPr>
            </w:pPr>
            <w:r>
              <w:rPr>
                <w:rFonts w:hint="eastAsia" w:ascii="Arial" w:hAnsi="Arial" w:eastAsia="宋体" w:cs="Arial"/>
                <w:color w:val="000000"/>
                <w:kern w:val="0"/>
                <w:sz w:val="20"/>
                <w:szCs w:val="20"/>
              </w:rPr>
              <w:t>410.89</w:t>
            </w:r>
          </w:p>
        </w:tc>
      </w:tr>
    </w:tbl>
    <w:p>
      <w:pPr>
        <w:pStyle w:val="7"/>
        <w:rPr>
          <w:rFonts w:ascii="Times New Roman" w:hAnsi="Times New Roman" w:cs="Times New Roman" w:eastAsiaTheme="minorEastAsia"/>
          <w:color w:val="FF0000"/>
        </w:rPr>
      </w:pPr>
      <w:r>
        <w:rPr>
          <w:rFonts w:hint="eastAsia" w:ascii="Times New Roman" w:hAnsi="Times New Roman" w:cs="Times New Roman" w:eastAsiaTheme="minorEastAsia"/>
          <w:color w:val="FF0000"/>
        </w:rPr>
        <w:t>注：</w:t>
      </w:r>
      <w:r>
        <w:rPr>
          <w:rFonts w:ascii="Times New Roman" w:hAnsi="Times New Roman" w:cs="Times New Roman" w:eastAsiaTheme="minorEastAsia"/>
          <w:color w:val="FF0000"/>
        </w:rPr>
        <w:t>本表金额转换为万元时，因四舍五入可能存在尾</w:t>
      </w:r>
      <w:r>
        <w:rPr>
          <w:rFonts w:hint="eastAsia" w:ascii="Times New Roman" w:hAnsi="Times New Roman" w:cs="Times New Roman" w:eastAsiaTheme="minorEastAsia"/>
          <w:color w:val="FF0000"/>
        </w:rPr>
        <w:t>数</w:t>
      </w:r>
      <w:r>
        <w:rPr>
          <w:rFonts w:ascii="Times New Roman" w:hAnsi="Times New Roman" w:cs="Times New Roman" w:eastAsiaTheme="minorEastAsia"/>
          <w:color w:val="FF0000"/>
        </w:rPr>
        <w:t>差</w:t>
      </w:r>
      <w:r>
        <w:rPr>
          <w:rFonts w:hint="eastAsia" w:ascii="Times New Roman" w:hAnsi="Times New Roman" w:cs="Times New Roman" w:eastAsiaTheme="minorEastAsia"/>
          <w:color w:val="FF0000"/>
        </w:rPr>
        <w:t>异</w:t>
      </w:r>
      <w:r>
        <w:rPr>
          <w:rFonts w:ascii="Times New Roman" w:hAnsi="Times New Roman" w:cs="Times New Roman" w:eastAsiaTheme="minorEastAsia"/>
          <w:color w:val="FF0000"/>
        </w:rPr>
        <w:t>。</w:t>
      </w:r>
    </w:p>
    <w:p>
      <w:pPr>
        <w:shd w:val="clear" w:color="auto" w:fill="FFFFFF"/>
        <w:spacing w:before="240" w:after="240"/>
        <w:ind w:left="845" w:leftChars="186" w:hanging="454" w:hangingChars="142"/>
        <w:jc w:val="left"/>
        <w:rPr>
          <w:rFonts w:ascii="黑体" w:hAnsi="黑体" w:eastAsia="黑体" w:cs="黑体"/>
          <w:sz w:val="32"/>
          <w:szCs w:val="32"/>
        </w:rPr>
      </w:pPr>
      <w:r>
        <w:rPr>
          <w:rFonts w:ascii="黑体" w:hAnsi="黑体" w:eastAsia="黑体" w:cs="黑体"/>
          <w:sz w:val="32"/>
          <w:szCs w:val="32"/>
        </w:rPr>
        <w:t xml:space="preserve">七、一般公共预算财政拨款“三公”经费支出决算表 </w:t>
      </w:r>
      <w:r>
        <w:rPr>
          <w:rFonts w:ascii="黑体" w:hAnsi="黑体" w:eastAsia="黑体" w:cs="黑体"/>
          <w:color w:val="000000"/>
          <w:sz w:val="36"/>
          <w:szCs w:val="36"/>
        </w:rPr>
        <w:t>一般公共预算财政拨款“三公”经费支出决算表</w:t>
      </w:r>
    </w:p>
    <w:tbl>
      <w:tblPr>
        <w:tblStyle w:val="5"/>
        <w:tblW w:w="8364" w:type="dxa"/>
        <w:tblInd w:w="-34" w:type="dxa"/>
        <w:tblLayout w:type="fixed"/>
        <w:tblCellMar>
          <w:top w:w="0" w:type="dxa"/>
          <w:left w:w="108" w:type="dxa"/>
          <w:bottom w:w="0" w:type="dxa"/>
          <w:right w:w="108" w:type="dxa"/>
        </w:tblCellMar>
      </w:tblPr>
      <w:tblGrid>
        <w:gridCol w:w="3970"/>
        <w:gridCol w:w="298"/>
        <w:gridCol w:w="836"/>
        <w:gridCol w:w="3260"/>
      </w:tblGrid>
      <w:tr>
        <w:tblPrEx>
          <w:tblCellMar>
            <w:top w:w="0" w:type="dxa"/>
            <w:left w:w="108" w:type="dxa"/>
            <w:bottom w:w="0" w:type="dxa"/>
            <w:right w:w="108" w:type="dxa"/>
          </w:tblCellMar>
        </w:tblPrEx>
        <w:trPr>
          <w:gridAfter w:val="2"/>
          <w:wAfter w:w="4096" w:type="dxa"/>
          <w:trHeight w:val="315" w:hRule="atLeast"/>
        </w:trPr>
        <w:tc>
          <w:tcPr>
            <w:tcW w:w="4268" w:type="dxa"/>
            <w:gridSpan w:val="2"/>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r>
              <w:rPr>
                <w:rFonts w:hint="eastAsia" w:ascii="宋体" w:hAnsi="宋体" w:eastAsia="宋体" w:cs="Arial"/>
                <w:color w:val="000000"/>
                <w:kern w:val="0"/>
                <w:sz w:val="24"/>
                <w:szCs w:val="24"/>
              </w:rPr>
              <w:t>编制单位：</w:t>
            </w:r>
            <w:r>
              <w:rPr>
                <w:rFonts w:hint="eastAsia" w:ascii="宋体" w:hAnsi="宋体" w:eastAsia="宋体" w:cs="Arial"/>
                <w:color w:val="000000"/>
                <w:kern w:val="0"/>
                <w:sz w:val="22"/>
              </w:rPr>
              <w:t>连城县朋口镇人民政府</w:t>
            </w:r>
          </w:p>
        </w:tc>
      </w:tr>
      <w:tr>
        <w:tblPrEx>
          <w:tblCellMar>
            <w:top w:w="0" w:type="dxa"/>
            <w:left w:w="108" w:type="dxa"/>
            <w:bottom w:w="0" w:type="dxa"/>
            <w:right w:w="108" w:type="dxa"/>
          </w:tblCellMar>
        </w:tblPrEx>
        <w:trPr>
          <w:trHeight w:val="308" w:hRule="atLeast"/>
        </w:trPr>
        <w:tc>
          <w:tcPr>
            <w:tcW w:w="3970" w:type="dxa"/>
            <w:tcBorders>
              <w:top w:val="single" w:color="000000" w:sz="8" w:space="0"/>
              <w:left w:val="single" w:color="000000" w:sz="8" w:space="0"/>
              <w:bottom w:val="single" w:color="000000" w:sz="4" w:space="0"/>
              <w:right w:val="single" w:color="000000" w:sz="4" w:space="0"/>
            </w:tcBorders>
            <w:shd w:val="clear" w:color="auto" w:fill="auto"/>
            <w:noWrap/>
            <w:vAlign w:val="center"/>
          </w:tcPr>
          <w:p>
            <w:pPr>
              <w:widowControl/>
              <w:spacing w:line="240" w:lineRule="auto"/>
              <w:rPr>
                <w:rFonts w:ascii="宋体" w:hAnsi="宋体" w:eastAsia="宋体" w:cs="Arial"/>
                <w:color w:val="000000"/>
                <w:kern w:val="0"/>
                <w:sz w:val="22"/>
              </w:rPr>
            </w:pPr>
            <w:r>
              <w:rPr>
                <w:rFonts w:hint="eastAsia" w:ascii="宋体" w:hAnsi="宋体" w:eastAsia="宋体" w:cs="Arial"/>
                <w:color w:val="000000"/>
                <w:kern w:val="0"/>
                <w:sz w:val="22"/>
              </w:rPr>
              <w:t>项 目</w:t>
            </w:r>
          </w:p>
        </w:tc>
        <w:tc>
          <w:tcPr>
            <w:tcW w:w="1134" w:type="dxa"/>
            <w:gridSpan w:val="2"/>
            <w:tcBorders>
              <w:top w:val="single" w:color="000000" w:sz="8" w:space="0"/>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326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本年决算数</w:t>
            </w:r>
          </w:p>
        </w:tc>
      </w:tr>
      <w:tr>
        <w:tblPrEx>
          <w:tblCellMar>
            <w:top w:w="0" w:type="dxa"/>
            <w:left w:w="108" w:type="dxa"/>
            <w:bottom w:w="0" w:type="dxa"/>
            <w:right w:w="108" w:type="dxa"/>
          </w:tblCellMar>
        </w:tblPrEx>
        <w:trPr>
          <w:trHeight w:val="308" w:hRule="atLeast"/>
        </w:trPr>
        <w:tc>
          <w:tcPr>
            <w:tcW w:w="3970" w:type="dxa"/>
            <w:tcBorders>
              <w:top w:val="nil"/>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134" w:type="dxa"/>
            <w:gridSpan w:val="2"/>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3260" w:type="dxa"/>
            <w:tcBorders>
              <w:top w:val="nil"/>
              <w:left w:val="nil"/>
              <w:bottom w:val="single" w:color="000000" w:sz="4" w:space="0"/>
              <w:right w:val="single" w:color="000000" w:sz="4" w:space="0"/>
            </w:tcBorders>
            <w:shd w:val="clear" w:color="auto" w:fill="auto"/>
            <w:noWrap/>
            <w:vAlign w:val="center"/>
          </w:tcPr>
          <w:p>
            <w:pPr>
              <w:ind w:firstLine="2530" w:firstLineChars="1150"/>
              <w:rPr>
                <w:rFonts w:ascii="宋体" w:hAnsi="宋体" w:eastAsia="宋体" w:cs="Arial"/>
                <w:color w:val="000000"/>
                <w:sz w:val="22"/>
              </w:rPr>
            </w:pPr>
            <w:r>
              <w:rPr>
                <w:rFonts w:hint="eastAsia" w:cs="Arial"/>
                <w:color w:val="000000"/>
                <w:sz w:val="22"/>
              </w:rPr>
              <w:t>30.95</w:t>
            </w:r>
          </w:p>
        </w:tc>
      </w:tr>
      <w:tr>
        <w:tblPrEx>
          <w:tblCellMar>
            <w:top w:w="0" w:type="dxa"/>
            <w:left w:w="108" w:type="dxa"/>
            <w:bottom w:w="0" w:type="dxa"/>
            <w:right w:w="108" w:type="dxa"/>
          </w:tblCellMar>
        </w:tblPrEx>
        <w:trPr>
          <w:trHeight w:val="308" w:hRule="atLeast"/>
        </w:trPr>
        <w:tc>
          <w:tcPr>
            <w:tcW w:w="397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xml:space="preserve">  1.因公出国（境）费</w:t>
            </w:r>
          </w:p>
        </w:tc>
        <w:tc>
          <w:tcPr>
            <w:tcW w:w="113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wordWrap w:val="0"/>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 xml:space="preserve">2    </w:t>
            </w:r>
          </w:p>
        </w:tc>
        <w:tc>
          <w:tcPr>
            <w:tcW w:w="326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宋体" w:hAnsi="宋体" w:eastAsia="宋体" w:cs="Arial"/>
                <w:color w:val="000000"/>
                <w:sz w:val="22"/>
              </w:rPr>
            </w:pPr>
          </w:p>
        </w:tc>
      </w:tr>
      <w:tr>
        <w:tblPrEx>
          <w:tblCellMar>
            <w:top w:w="0" w:type="dxa"/>
            <w:left w:w="108" w:type="dxa"/>
            <w:bottom w:w="0" w:type="dxa"/>
            <w:right w:w="108" w:type="dxa"/>
          </w:tblCellMar>
        </w:tblPrEx>
        <w:trPr>
          <w:trHeight w:val="308" w:hRule="atLeast"/>
        </w:trPr>
        <w:tc>
          <w:tcPr>
            <w:tcW w:w="397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xml:space="preserve">  2.公务用车购置及运行维护费</w:t>
            </w:r>
          </w:p>
        </w:tc>
        <w:tc>
          <w:tcPr>
            <w:tcW w:w="113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wordWrap w:val="0"/>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 xml:space="preserve">3    </w:t>
            </w:r>
          </w:p>
        </w:tc>
        <w:tc>
          <w:tcPr>
            <w:tcW w:w="3260"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2640" w:firstLineChars="1200"/>
              <w:rPr>
                <w:rFonts w:ascii="宋体" w:hAnsi="宋体" w:eastAsia="宋体" w:cs="Arial"/>
                <w:color w:val="000000"/>
                <w:sz w:val="22"/>
              </w:rPr>
            </w:pPr>
            <w:r>
              <w:rPr>
                <w:rFonts w:hint="eastAsia" w:cs="Arial"/>
                <w:color w:val="000000"/>
                <w:sz w:val="22"/>
              </w:rPr>
              <w:t>7.83</w:t>
            </w:r>
          </w:p>
        </w:tc>
      </w:tr>
      <w:tr>
        <w:tblPrEx>
          <w:tblCellMar>
            <w:top w:w="0" w:type="dxa"/>
            <w:left w:w="108" w:type="dxa"/>
            <w:bottom w:w="0" w:type="dxa"/>
            <w:right w:w="108" w:type="dxa"/>
          </w:tblCellMar>
        </w:tblPrEx>
        <w:trPr>
          <w:trHeight w:val="308" w:hRule="atLeast"/>
        </w:trPr>
        <w:tc>
          <w:tcPr>
            <w:tcW w:w="3970" w:type="dxa"/>
            <w:tcBorders>
              <w:top w:val="single" w:color="auto" w:sz="4" w:space="0"/>
              <w:left w:val="single" w:color="000000" w:sz="8" w:space="0"/>
              <w:bottom w:val="single" w:color="000000"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其中：（1）公务用车购置费</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pPr>
              <w:widowControl/>
              <w:wordWrap w:val="0"/>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 xml:space="preserve">4    </w:t>
            </w:r>
          </w:p>
        </w:tc>
        <w:tc>
          <w:tcPr>
            <w:tcW w:w="3260" w:type="dxa"/>
            <w:tcBorders>
              <w:top w:val="single" w:color="auto" w:sz="4" w:space="0"/>
              <w:left w:val="nil"/>
              <w:bottom w:val="single" w:color="000000" w:sz="4" w:space="0"/>
              <w:right w:val="single" w:color="000000" w:sz="4" w:space="0"/>
            </w:tcBorders>
            <w:shd w:val="clear" w:color="auto" w:fill="auto"/>
            <w:noWrap/>
            <w:vAlign w:val="center"/>
          </w:tcPr>
          <w:p>
            <w:pPr>
              <w:rPr>
                <w:rFonts w:ascii="宋体" w:hAnsi="宋体" w:eastAsia="宋体" w:cs="Arial"/>
                <w:color w:val="000000"/>
                <w:sz w:val="22"/>
              </w:rPr>
            </w:pPr>
          </w:p>
        </w:tc>
      </w:tr>
      <w:tr>
        <w:tblPrEx>
          <w:tblCellMar>
            <w:top w:w="0" w:type="dxa"/>
            <w:left w:w="108" w:type="dxa"/>
            <w:bottom w:w="0" w:type="dxa"/>
            <w:right w:w="108" w:type="dxa"/>
          </w:tblCellMar>
        </w:tblPrEx>
        <w:trPr>
          <w:trHeight w:val="308" w:hRule="atLeast"/>
        </w:trPr>
        <w:tc>
          <w:tcPr>
            <w:tcW w:w="3970" w:type="dxa"/>
            <w:tcBorders>
              <w:top w:val="nil"/>
              <w:left w:val="single" w:color="000000" w:sz="8" w:space="0"/>
              <w:bottom w:val="single" w:color="auto" w:sz="4" w:space="0"/>
              <w:right w:val="single" w:color="000000"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xml:space="preserve">          （2）公务用车运行维护费</w:t>
            </w:r>
          </w:p>
        </w:tc>
        <w:tc>
          <w:tcPr>
            <w:tcW w:w="1134" w:type="dxa"/>
            <w:gridSpan w:val="2"/>
            <w:tcBorders>
              <w:top w:val="nil"/>
              <w:left w:val="nil"/>
              <w:bottom w:val="single" w:color="auto" w:sz="4" w:space="0"/>
              <w:right w:val="single" w:color="000000" w:sz="4" w:space="0"/>
            </w:tcBorders>
            <w:shd w:val="clear" w:color="auto" w:fill="auto"/>
            <w:noWrap/>
            <w:vAlign w:val="center"/>
          </w:tcPr>
          <w:p>
            <w:pPr>
              <w:widowControl/>
              <w:wordWrap w:val="0"/>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 xml:space="preserve">  5    </w:t>
            </w:r>
          </w:p>
        </w:tc>
        <w:tc>
          <w:tcPr>
            <w:tcW w:w="3260" w:type="dxa"/>
            <w:tcBorders>
              <w:top w:val="nil"/>
              <w:left w:val="nil"/>
              <w:bottom w:val="single" w:color="auto" w:sz="4" w:space="0"/>
              <w:right w:val="single" w:color="000000" w:sz="4" w:space="0"/>
            </w:tcBorders>
            <w:shd w:val="clear" w:color="auto" w:fill="auto"/>
            <w:noWrap/>
            <w:vAlign w:val="center"/>
          </w:tcPr>
          <w:p>
            <w:pPr>
              <w:rPr>
                <w:rFonts w:ascii="宋体" w:hAnsi="宋体" w:eastAsia="宋体" w:cs="Arial"/>
                <w:color w:val="000000"/>
                <w:sz w:val="22"/>
              </w:rPr>
            </w:pPr>
            <w:r>
              <w:rPr>
                <w:rFonts w:hint="eastAsia" w:cs="Arial"/>
                <w:color w:val="000000"/>
                <w:sz w:val="22"/>
              </w:rPr>
              <w:t xml:space="preserve">                        7.83</w:t>
            </w:r>
          </w:p>
        </w:tc>
      </w:tr>
      <w:tr>
        <w:tblPrEx>
          <w:tblCellMar>
            <w:top w:w="0" w:type="dxa"/>
            <w:left w:w="108" w:type="dxa"/>
            <w:bottom w:w="0" w:type="dxa"/>
            <w:right w:w="108" w:type="dxa"/>
          </w:tblCellMar>
        </w:tblPrEx>
        <w:trPr>
          <w:trHeight w:val="308" w:hRule="atLeast"/>
        </w:trPr>
        <w:tc>
          <w:tcPr>
            <w:tcW w:w="397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ascii="宋体" w:hAnsi="宋体" w:eastAsia="宋体" w:cs="Arial"/>
                <w:color w:val="000000"/>
                <w:kern w:val="0"/>
                <w:sz w:val="22"/>
              </w:rPr>
            </w:pPr>
            <w:r>
              <w:rPr>
                <w:rFonts w:hint="eastAsia" w:ascii="宋体" w:hAnsi="宋体" w:eastAsia="宋体" w:cs="Arial"/>
                <w:color w:val="000000"/>
                <w:kern w:val="0"/>
                <w:sz w:val="22"/>
              </w:rPr>
              <w:t xml:space="preserve">  3.公务接待费</w:t>
            </w:r>
          </w:p>
        </w:tc>
        <w:tc>
          <w:tcPr>
            <w:tcW w:w="113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wordWrap w:val="0"/>
              <w:jc w:val="right"/>
              <w:textAlignment w:val="center"/>
              <w:rPr>
                <w:rFonts w:ascii="宋体" w:hAnsi="宋体" w:eastAsia="宋体" w:cs="Arial"/>
                <w:color w:val="000000"/>
                <w:kern w:val="0"/>
                <w:sz w:val="22"/>
              </w:rPr>
            </w:pPr>
            <w:r>
              <w:rPr>
                <w:rFonts w:hint="eastAsia" w:ascii="宋体" w:hAnsi="宋体" w:eastAsia="宋体" w:cs="宋体"/>
                <w:color w:val="000000"/>
                <w:kern w:val="0"/>
                <w:sz w:val="22"/>
              </w:rPr>
              <w:t xml:space="preserve">6    </w:t>
            </w:r>
          </w:p>
        </w:tc>
        <w:tc>
          <w:tcPr>
            <w:tcW w:w="3260"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default" w:ascii="宋体" w:hAnsi="宋体" w:cs="Arial" w:eastAsiaTheme="minorEastAsia"/>
                <w:color w:val="000000"/>
                <w:sz w:val="22"/>
                <w:lang w:val="en-US" w:eastAsia="zh-CN"/>
              </w:rPr>
            </w:pPr>
            <w:r>
              <w:rPr>
                <w:rFonts w:hint="eastAsia" w:cs="Arial"/>
                <w:color w:val="000000"/>
                <w:sz w:val="22"/>
              </w:rPr>
              <w:t xml:space="preserve">  </w:t>
            </w:r>
            <w:r>
              <w:rPr>
                <w:rFonts w:hint="eastAsia" w:cs="Arial"/>
                <w:color w:val="000000"/>
                <w:sz w:val="22"/>
                <w:lang w:val="en-US" w:eastAsia="zh-CN"/>
              </w:rPr>
              <w:t xml:space="preserve">                     23.12</w:t>
            </w:r>
          </w:p>
        </w:tc>
      </w:tr>
    </w:tbl>
    <w:p>
      <w:pPr>
        <w:pStyle w:val="7"/>
        <w:rPr>
          <w:rFonts w:ascii="Times New Roman" w:hAnsi="Times New Roman" w:cs="Times New Roman" w:eastAsiaTheme="minorEastAsia"/>
          <w:color w:val="FF0000"/>
        </w:rPr>
      </w:pPr>
      <w:r>
        <w:rPr>
          <w:rFonts w:hint="eastAsia" w:ascii="Times New Roman" w:hAnsi="Times New Roman" w:cs="Times New Roman" w:eastAsiaTheme="minorEastAsia"/>
          <w:color w:val="FF0000"/>
        </w:rPr>
        <w:t>注：</w:t>
      </w:r>
      <w:r>
        <w:rPr>
          <w:rFonts w:ascii="Times New Roman" w:hAnsi="Times New Roman" w:cs="Times New Roman" w:eastAsiaTheme="minorEastAsia"/>
          <w:color w:val="FF0000"/>
        </w:rPr>
        <w:t>本表金额转换为万元时，因四舍五入可能存在尾</w:t>
      </w:r>
      <w:r>
        <w:rPr>
          <w:rFonts w:hint="eastAsia" w:ascii="Times New Roman" w:hAnsi="Times New Roman" w:cs="Times New Roman" w:eastAsiaTheme="minorEastAsia"/>
          <w:color w:val="FF0000"/>
        </w:rPr>
        <w:t>数</w:t>
      </w:r>
      <w:r>
        <w:rPr>
          <w:rFonts w:ascii="Times New Roman" w:hAnsi="Times New Roman" w:cs="Times New Roman" w:eastAsiaTheme="minorEastAsia"/>
          <w:color w:val="FF0000"/>
        </w:rPr>
        <w:t>差</w:t>
      </w:r>
      <w:r>
        <w:rPr>
          <w:rFonts w:hint="eastAsia" w:ascii="Times New Roman" w:hAnsi="Times New Roman" w:cs="Times New Roman" w:eastAsiaTheme="minorEastAsia"/>
          <w:color w:val="FF0000"/>
        </w:rPr>
        <w:t>异</w:t>
      </w:r>
      <w:r>
        <w:rPr>
          <w:rFonts w:ascii="Times New Roman" w:hAnsi="Times New Roman" w:cs="Times New Roman" w:eastAsiaTheme="minorEastAsia"/>
          <w:color w:val="FF0000"/>
        </w:rPr>
        <w:t>。</w:t>
      </w:r>
    </w:p>
    <w:p>
      <w:pPr>
        <w:pStyle w:val="7"/>
        <w:rPr>
          <w:rFonts w:ascii="Times New Roman" w:hAnsi="Times New Roman" w:cs="Times New Roman" w:eastAsiaTheme="minorEastAsia"/>
          <w:color w:val="FF0000"/>
        </w:rPr>
      </w:pPr>
    </w:p>
    <w:p>
      <w:pPr>
        <w:ind w:firstLine="640" w:firstLineChars="200"/>
        <w:jc w:val="left"/>
        <w:rPr>
          <w:rFonts w:ascii="黑体" w:hAnsi="仿宋" w:eastAsia="黑体"/>
          <w:sz w:val="32"/>
          <w:szCs w:val="32"/>
        </w:rPr>
      </w:pPr>
      <w:r>
        <w:rPr>
          <w:rFonts w:hint="eastAsia" w:ascii="黑体" w:hAnsi="仿宋" w:eastAsia="黑体"/>
          <w:sz w:val="32"/>
          <w:szCs w:val="32"/>
        </w:rPr>
        <w:t xml:space="preserve">八、政府性基金预算财政拨款收入支出决算表 </w:t>
      </w:r>
    </w:p>
    <w:p>
      <w:pPr>
        <w:ind w:firstLine="640" w:firstLineChars="200"/>
        <w:jc w:val="left"/>
        <w:rPr>
          <w:rFonts w:ascii="宋体" w:hAnsi="宋体" w:eastAsia="宋体" w:cs="宋体"/>
          <w:sz w:val="32"/>
          <w:szCs w:val="32"/>
        </w:rPr>
      </w:pPr>
      <w:r>
        <w:rPr>
          <w:rFonts w:hint="eastAsia" w:ascii="仿宋_GB2312" w:hAnsi="仿宋_GB2312" w:eastAsia="仿宋_GB2312" w:cs="仿宋_GB2312"/>
          <w:sz w:val="32"/>
          <w:szCs w:val="32"/>
        </w:rPr>
        <w:t>本单位2020年度没有使用政府性基金预算拨款安排的收支。</w:t>
      </w:r>
    </w:p>
    <w:p>
      <w:pPr>
        <w:shd w:val="clear" w:color="auto" w:fill="FFFFFF"/>
        <w:spacing w:before="240" w:after="240"/>
        <w:ind w:firstLine="640" w:firstLineChars="200"/>
        <w:jc w:val="left"/>
        <w:rPr>
          <w:rFonts w:ascii="黑体" w:hAnsi="黑体" w:eastAsia="黑体" w:cs="黑体"/>
          <w:sz w:val="32"/>
          <w:szCs w:val="32"/>
        </w:rPr>
      </w:pPr>
      <w:r>
        <w:rPr>
          <w:rFonts w:ascii="黑体" w:hAnsi="黑体" w:eastAsia="黑体" w:cs="黑体"/>
          <w:sz w:val="32"/>
          <w:szCs w:val="32"/>
        </w:rPr>
        <w:t>九、国有资本经营预算财政拨款支出决算表</w:t>
      </w:r>
    </w:p>
    <w:p>
      <w:pPr>
        <w:pStyle w:val="2"/>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本单位2020年度没有使用国有资本经营预算财政拨款安排的收支</w:t>
      </w:r>
    </w:p>
    <w:p>
      <w:pPr>
        <w:spacing w:line="600" w:lineRule="exact"/>
        <w:jc w:val="center"/>
        <w:rPr>
          <w:rFonts w:ascii="黑体" w:hAnsi="黑体" w:eastAsia="黑体"/>
          <w:sz w:val="36"/>
          <w:szCs w:val="36"/>
        </w:rPr>
      </w:pPr>
    </w:p>
    <w:p>
      <w:pPr>
        <w:spacing w:line="600" w:lineRule="exact"/>
        <w:jc w:val="center"/>
        <w:rPr>
          <w:rFonts w:ascii="黑体" w:hAnsi="黑体" w:eastAsia="黑体"/>
          <w:sz w:val="36"/>
          <w:szCs w:val="36"/>
        </w:rPr>
      </w:pPr>
      <w:r>
        <w:rPr>
          <w:rFonts w:hint="eastAsia" w:ascii="黑体" w:hAnsi="黑体" w:eastAsia="黑体"/>
          <w:sz w:val="36"/>
          <w:szCs w:val="36"/>
        </w:rPr>
        <w:t>第三部分 2020年度部门决算情况说明</w:t>
      </w:r>
    </w:p>
    <w:p>
      <w:pPr>
        <w:spacing w:line="600" w:lineRule="exact"/>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一、收入支出决算总体情况说明</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2020年连城县朋口镇人民政府部门年初结转和结余961.85万元，本年收入2172.38万元，本年支出2704.75万元，结余分配0万元，年末结转和结余429.48万元。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（一）2020年收入2172.38万元，比2019年决算数减少4819.96万元，减少68.93％，具体情况如下：</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1.一般公共预算财政拨款收入6992.34万元。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2.政府性基金预算财政拨款收入0万元。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3.国有资本经营预算财政拨款收入0万元。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4.上级补助收入0万元。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5.事业收入收入0万元。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6.经营收入0万元。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7.附属单位上缴收入0万。</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8.其他收入0万元。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（二）2020年支出2704.75万元，比2019年决算数减少3745.65万元，减少58.07％，具体情况如下：</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1.基本支出1430.51万元。其中，人员支出1019.62万元，公用支出410.89万元。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2.项目支出1274.24万元。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3.上缴上级支出0万元。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4.经营支出0万元。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5.对附属单位补助支出0万元。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二、一般公共预算拨款支出决算情况说明</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2020年一般公共预算拨款支出2704.75万元，比上年决算数减少3745.65万元，减少58.07%，具体情况如下：</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（一）2010301行政运行（政府办公厅（室）及相关机构事务）948.99万元，较上年决算数减少386.53万元，减少28.94%。主要原因是人员及公用经费支出减少。</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（二）2070199其他文化和旅游支出0万元，较上年决算数减少65万元，减少100%。主要原因是本年度无文化旅游体育与传媒支出。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（三）2080208基层政权建设和社区治理支出80.23万元，较上年决算数减少8.57万元。主要原因是社区人员费用及经费支出减少。</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（四）2080799其他就业补助支出0万元，较上年决算数减少1.5万元，减少100%。主要原因是本年度无其他就业补助支出。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（五）2100410突发公共卫生事件应急处理支出30万元，较上年决算数增加30万元，增加100%。主要原因是上年度无突发公共卫生事件应急处理支出。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（六）2100799其他计划生育事务支出5.04万元，与上年决算数持平。主要原因是人员经费支出无变化。</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（七）2110302水体603.24万元，较上年决算数减少196.76万元，减少24.60%。主要原因是减少节能环保及相关项目支出。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（八）2110402农村环境保护0万元，较上年决算数减少5万元，减少100%。主要原因是本年度农村环境保护相关项目支出。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（九）2120303小城镇基础设施建设支出461万元，较上年决算数增加254.16万元，增长122.88%。主要原因是增加小城镇基础设施建设支出。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（十）2129901其他城乡社区支出15万元，较上年决算数增加15万元，增长100%。主要原因是上年度无其他城乡社区支出。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（十一）2130199其他农业农村支出30万元，较上年决算数减少11.99万元，减少28.55%。主要原因是本年度减少农林水支出。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（十二）2130504农村基础设施建设支出15万元，较上年决算数减少3485万元，减少99.57%。主要原因是本年度减少农村基础设施建设支出。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（十三）2130599其他扶贫支出100万元，较上年决算数增加88.68万元，增长783.39%。主要原因是增加扶贫支出。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（十四）2130705对村民委员会和村党支部的补助支出361.25万元，较上年决算数增加13.11万元，增长3.77%。主要原因是增加对村民委员会和村党支部的补助支出。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（十五）2130706对村集体经济组织的补助支出35万元，较上年决算数增加35万元，增长100%。主要原因是上年度无对村集体经济组织的补助支出。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（十六）2140106公路养护支出15万元，较上年决算数增加15万元，增长100%。主要原因是上年度无公路养护支出。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（十七）2200106自然资源利用与保护支出5万元，较上年决算数增加5万元，增长100%。主要原因是上年度无自然资源利用与保护支出。</w:t>
      </w:r>
    </w:p>
    <w:p>
      <w:pPr>
        <w:keepNext w:val="0"/>
        <w:keepLines w:val="0"/>
        <w:pageBreakBefore w:val="0"/>
        <w:widowControl w:val="0"/>
        <w:tabs>
          <w:tab w:val="left" w:pos="7513"/>
        </w:tabs>
        <w:kinsoku/>
        <w:wordWrap/>
        <w:overflowPunct/>
        <w:topLinePunct w:val="0"/>
        <w:bidi w:val="0"/>
        <w:adjustRightInd w:val="0"/>
        <w:snapToGrid w:val="0"/>
        <w:spacing w:line="600" w:lineRule="exact"/>
        <w:ind w:firstLine="640" w:firstLineChars="200"/>
        <w:textAlignment w:val="auto"/>
        <w:rPr>
          <w:rFonts w:ascii="黑体" w:hAnsi="黑体" w:eastAsia="黑体" w:cs="仿宋_GB2312"/>
          <w:bCs/>
          <w:sz w:val="32"/>
          <w:szCs w:val="32"/>
        </w:rPr>
      </w:pPr>
      <w:r>
        <w:rPr>
          <w:rFonts w:hint="eastAsia" w:ascii="黑体" w:hAnsi="黑体" w:eastAsia="黑体" w:cs="仿宋_GB2312"/>
          <w:bCs/>
          <w:sz w:val="32"/>
          <w:szCs w:val="32"/>
        </w:rPr>
        <w:t>三、政府性基金支出决算情况说明</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2020年度政府性基金支出0万元，本单位2020年度没有使用政府性基金预算拨款安排的支出。</w:t>
      </w:r>
    </w:p>
    <w:p>
      <w:pPr>
        <w:keepNext w:val="0"/>
        <w:keepLines w:val="0"/>
        <w:pageBreakBefore w:val="0"/>
        <w:widowControl w:val="0"/>
        <w:shd w:val="clear" w:color="auto" w:fill="FFFFFF"/>
        <w:kinsoku/>
        <w:wordWrap/>
        <w:overflowPunct/>
        <w:topLinePunct w:val="0"/>
        <w:bidi w:val="0"/>
        <w:spacing w:before="240" w:after="240" w:line="600" w:lineRule="atLeast"/>
        <w:ind w:firstLine="640" w:firstLineChars="200"/>
        <w:jc w:val="left"/>
        <w:textAlignment w:val="auto"/>
        <w:rPr>
          <w:rFonts w:ascii="黑体" w:hAnsi="黑体" w:eastAsia="黑体" w:cs="黑体"/>
          <w:sz w:val="32"/>
          <w:szCs w:val="32"/>
        </w:rPr>
      </w:pPr>
      <w:r>
        <w:rPr>
          <w:rFonts w:ascii="黑体" w:hAnsi="黑体" w:eastAsia="黑体" w:cs="黑体"/>
          <w:sz w:val="32"/>
          <w:szCs w:val="32"/>
        </w:rPr>
        <w:t>四、国有资本经营预算财政拨款支出决算情况说</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2020年度国有资本经营预算财政拨款支出0万元，本单位2020年度没有使用国有资本经营预算财政拨款支出。</w:t>
      </w:r>
    </w:p>
    <w:p>
      <w:pPr>
        <w:keepNext w:val="0"/>
        <w:keepLines w:val="0"/>
        <w:pageBreakBefore w:val="0"/>
        <w:widowControl w:val="0"/>
        <w:shd w:val="clear" w:color="auto" w:fill="FFFFFF"/>
        <w:kinsoku/>
        <w:wordWrap/>
        <w:overflowPunct/>
        <w:topLinePunct w:val="0"/>
        <w:bidi w:val="0"/>
        <w:spacing w:before="240" w:after="240" w:line="600" w:lineRule="atLeast"/>
        <w:ind w:firstLine="640" w:firstLineChars="200"/>
        <w:jc w:val="left"/>
        <w:textAlignment w:val="auto"/>
        <w:rPr>
          <w:rFonts w:ascii="黑体" w:hAnsi="黑体" w:eastAsia="黑体" w:cs="黑体"/>
          <w:sz w:val="32"/>
          <w:szCs w:val="32"/>
        </w:rPr>
      </w:pPr>
      <w:r>
        <w:rPr>
          <w:rFonts w:hint="eastAsia" w:ascii="黑体" w:hAnsi="黑体" w:eastAsia="黑体" w:cs="仿宋_GB2312"/>
          <w:bCs/>
          <w:sz w:val="32"/>
          <w:szCs w:val="32"/>
        </w:rPr>
        <w:t>五、一般公共预算财政拨款基本支出决算情况说明</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2020年度一般公共预算财政拨款基本支出1430.51万元，其中：</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人员经费1019.62万元，主要包括：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用经费410.89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keepNext w:val="0"/>
        <w:keepLines w:val="0"/>
        <w:pageBreakBefore w:val="0"/>
        <w:widowControl w:val="0"/>
        <w:shd w:val="clear" w:color="auto" w:fill="FFFFFF"/>
        <w:kinsoku/>
        <w:wordWrap/>
        <w:overflowPunct/>
        <w:topLinePunct w:val="0"/>
        <w:bidi w:val="0"/>
        <w:spacing w:before="240" w:after="240" w:line="600" w:lineRule="atLeast"/>
        <w:ind w:firstLine="640" w:firstLineChars="200"/>
        <w:jc w:val="left"/>
        <w:textAlignment w:val="auto"/>
        <w:rPr>
          <w:rFonts w:ascii="黑体" w:hAnsi="黑体" w:eastAsia="黑体" w:cs="仿宋_GB2312"/>
          <w:bCs/>
          <w:sz w:val="32"/>
          <w:szCs w:val="32"/>
        </w:rPr>
      </w:pPr>
      <w:r>
        <w:rPr>
          <w:rFonts w:hint="eastAsia" w:ascii="黑体" w:hAnsi="黑体" w:eastAsia="黑体" w:cs="仿宋_GB2312"/>
          <w:bCs/>
          <w:sz w:val="32"/>
          <w:szCs w:val="32"/>
        </w:rPr>
        <w:t>六、</w:t>
      </w:r>
      <w:r>
        <w:rPr>
          <w:rFonts w:hint="eastAsia" w:ascii="黑体" w:hAnsi="黑体" w:eastAsia="黑体"/>
          <w:sz w:val="32"/>
          <w:szCs w:val="32"/>
        </w:rPr>
        <w:t>一般公共预算拨款</w:t>
      </w:r>
      <w:r>
        <w:rPr>
          <w:rFonts w:hint="eastAsia" w:ascii="黑体" w:hAnsi="黑体" w:eastAsia="黑体" w:cs="仿宋_GB2312"/>
          <w:bCs/>
          <w:sz w:val="32"/>
          <w:szCs w:val="32"/>
        </w:rPr>
        <w:t>“三公”经费支出决算情况说明</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2020年度“三公”经费财政拨款支出30.95万元，年初预算0万元。</w:t>
      </w:r>
    </w:p>
    <w:p>
      <w:pPr>
        <w:keepNext w:val="0"/>
        <w:keepLines w:val="0"/>
        <w:pageBreakBefore w:val="0"/>
        <w:widowControl w:val="0"/>
        <w:tabs>
          <w:tab w:val="left" w:pos="7513"/>
        </w:tabs>
        <w:kinsoku/>
        <w:wordWrap/>
        <w:overflowPunct/>
        <w:topLinePunct w:val="0"/>
        <w:bidi w:val="0"/>
        <w:adjustRightInd w:val="0"/>
        <w:snapToGrid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七、预算绩效情况说明</w:t>
      </w:r>
    </w:p>
    <w:p>
      <w:pPr>
        <w:keepNext w:val="0"/>
        <w:keepLines w:val="0"/>
        <w:pageBreakBefore w:val="0"/>
        <w:widowControl w:val="0"/>
        <w:kinsoku/>
        <w:wordWrap/>
        <w:overflowPunct/>
        <w:topLinePunct w:val="0"/>
        <w:bidi w:val="0"/>
        <w:ind w:firstLine="643" w:firstLineChars="200"/>
        <w:textAlignment w:val="auto"/>
        <w:rPr>
          <w:rFonts w:ascii="楷体" w:hAnsi="楷体" w:eastAsia="楷体"/>
          <w:b/>
          <w:sz w:val="32"/>
          <w:szCs w:val="32"/>
        </w:rPr>
      </w:pPr>
      <w:r>
        <w:rPr>
          <w:rFonts w:hint="eastAsia" w:ascii="楷体" w:hAnsi="楷体" w:eastAsia="楷体"/>
          <w:b/>
          <w:sz w:val="32"/>
          <w:szCs w:val="32"/>
        </w:rPr>
        <w:t>（一）绩效管理工作开展情况</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根据预算绩效管理要求，共对2020年0个清单项目实施绩效监控，涉及财政拨款资金0万元。同时，对2020年0万元业务费实施绩效监控。</w:t>
      </w:r>
    </w:p>
    <w:p>
      <w:pPr>
        <w:keepNext w:val="0"/>
        <w:keepLines w:val="0"/>
        <w:pageBreakBefore w:val="0"/>
        <w:widowControl w:val="0"/>
        <w:kinsoku/>
        <w:wordWrap/>
        <w:overflowPunct/>
        <w:topLinePunct w:val="0"/>
        <w:bidi w:val="0"/>
        <w:ind w:firstLine="643" w:firstLineChars="200"/>
        <w:textAlignment w:val="auto"/>
        <w:rPr>
          <w:rFonts w:ascii="仿宋" w:hAnsi="仿宋" w:eastAsia="仿宋"/>
          <w:b/>
          <w:sz w:val="32"/>
          <w:szCs w:val="32"/>
        </w:rPr>
      </w:pPr>
      <w:r>
        <w:rPr>
          <w:rFonts w:hint="eastAsia" w:ascii="仿宋" w:hAnsi="仿宋" w:eastAsia="仿宋"/>
          <w:b/>
          <w:sz w:val="32"/>
          <w:szCs w:val="32"/>
        </w:rPr>
        <w:t>（二）绩效自评工作开展情况</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对2020年度0个部门业务费开展绩效自评，涉及财政拨款资金共计0万元。根据年初设定的绩效目标，本年度绩效自评主要采取“对标评价”的方式展开，自评结果等次为“优”“良”“中”“差”的项目各是0个。</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共对2020年度0个部门共计0个清单项目实施绩效自评，涉及财政拨款资金共计0万元。评价结果为“优”的项目是0个，“良”的项目是0个，“中”的项目是0个，“差”的项目是0个。</w:t>
      </w:r>
    </w:p>
    <w:p>
      <w:pPr>
        <w:keepNext w:val="0"/>
        <w:keepLines w:val="0"/>
        <w:pageBreakBefore w:val="0"/>
        <w:widowControl w:val="0"/>
        <w:kinsoku/>
        <w:wordWrap/>
        <w:overflowPunct/>
        <w:topLinePunct w:val="0"/>
        <w:bidi w:val="0"/>
        <w:ind w:firstLine="643" w:firstLineChars="200"/>
        <w:textAlignment w:val="auto"/>
        <w:rPr>
          <w:rFonts w:ascii="仿宋" w:hAnsi="仿宋" w:eastAsia="仿宋"/>
          <w:b/>
          <w:sz w:val="32"/>
          <w:szCs w:val="32"/>
        </w:rPr>
      </w:pPr>
      <w:r>
        <w:rPr>
          <w:rFonts w:hint="eastAsia" w:ascii="仿宋" w:hAnsi="仿宋" w:eastAsia="仿宋"/>
          <w:b/>
          <w:sz w:val="32"/>
          <w:szCs w:val="32"/>
        </w:rPr>
        <w:t>（三）重点评价工作开展情况</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共对2020年度共计0个清单项目实施财政重点评价，涉及财政拨款资金共计0万元。评价结果为“优”的项目是0个，“良”的项目是0个，“中”的项目是0个，“差”的项目是0个。</w:t>
      </w:r>
    </w:p>
    <w:p>
      <w:pPr>
        <w:keepNext w:val="0"/>
        <w:keepLines w:val="0"/>
        <w:pageBreakBefore w:val="0"/>
        <w:widowControl w:val="0"/>
        <w:tabs>
          <w:tab w:val="left" w:pos="7513"/>
        </w:tabs>
        <w:kinsoku/>
        <w:wordWrap/>
        <w:overflowPunct/>
        <w:topLinePunct w:val="0"/>
        <w:bidi w:val="0"/>
        <w:adjustRightInd w:val="0"/>
        <w:snapToGrid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八、其他重要事项说明</w:t>
      </w:r>
    </w:p>
    <w:p>
      <w:pPr>
        <w:keepNext w:val="0"/>
        <w:keepLines w:val="0"/>
        <w:pageBreakBefore w:val="0"/>
        <w:widowControl w:val="0"/>
        <w:tabs>
          <w:tab w:val="left" w:pos="7513"/>
        </w:tabs>
        <w:kinsoku/>
        <w:wordWrap/>
        <w:overflowPunct/>
        <w:topLinePunct w:val="0"/>
        <w:bidi w:val="0"/>
        <w:adjustRightInd w:val="0"/>
        <w:snapToGrid w:val="0"/>
        <w:spacing w:line="600" w:lineRule="exact"/>
        <w:ind w:firstLine="643" w:firstLineChars="200"/>
        <w:textAlignment w:val="auto"/>
        <w:rPr>
          <w:rFonts w:ascii="黑体" w:hAnsi="黑体" w:eastAsia="黑体" w:cs="仿宋_GB2312"/>
          <w:bCs/>
          <w:sz w:val="32"/>
          <w:szCs w:val="32"/>
        </w:rPr>
      </w:pPr>
      <w:r>
        <w:rPr>
          <w:rFonts w:hint="eastAsia" w:ascii="楷体" w:hAnsi="楷体" w:eastAsia="楷体"/>
          <w:b/>
          <w:sz w:val="32"/>
          <w:szCs w:val="32"/>
        </w:rPr>
        <w:t>（一）机关运行经费</w:t>
      </w:r>
      <w:r>
        <w:rPr>
          <w:rFonts w:ascii="黑体" w:hAnsi="黑体" w:eastAsia="黑体" w:cs="仿宋_GB2312"/>
          <w:bCs/>
          <w:sz w:val="32"/>
          <w:szCs w:val="32"/>
        </w:rPr>
        <w:t xml:space="preserve"> </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2020年度机关运行经费支出410.89万元，比上年决算数减少27.03%，主要是:机关运行经费支出减少。</w:t>
      </w:r>
    </w:p>
    <w:p>
      <w:pPr>
        <w:keepNext w:val="0"/>
        <w:keepLines w:val="0"/>
        <w:pageBreakBefore w:val="0"/>
        <w:widowControl w:val="0"/>
        <w:kinsoku/>
        <w:wordWrap/>
        <w:overflowPunct/>
        <w:topLinePunct w:val="0"/>
        <w:autoSpaceDE w:val="0"/>
        <w:autoSpaceDN w:val="0"/>
        <w:bidi w:val="0"/>
        <w:adjustRightInd w:val="0"/>
        <w:spacing w:line="600" w:lineRule="exact"/>
        <w:ind w:firstLine="643" w:firstLineChars="200"/>
        <w:jc w:val="left"/>
        <w:textAlignment w:val="auto"/>
        <w:rPr>
          <w:rFonts w:ascii="黑体" w:hAnsi="黑体" w:eastAsia="黑体" w:cs="仿宋_GB2312"/>
          <w:kern w:val="0"/>
          <w:sz w:val="32"/>
          <w:szCs w:val="32"/>
        </w:rPr>
      </w:pPr>
      <w:r>
        <w:rPr>
          <w:rFonts w:hint="eastAsia" w:ascii="楷体" w:hAnsi="楷体" w:eastAsia="楷体"/>
          <w:b/>
          <w:sz w:val="32"/>
          <w:szCs w:val="32"/>
        </w:rPr>
        <w:t>（二）政府采购情况</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本单位2020年度没有政府采购支出。</w:t>
      </w:r>
    </w:p>
    <w:p>
      <w:pPr>
        <w:keepNext w:val="0"/>
        <w:keepLines w:val="0"/>
        <w:pageBreakBefore w:val="0"/>
        <w:widowControl w:val="0"/>
        <w:tabs>
          <w:tab w:val="left" w:pos="7513"/>
        </w:tabs>
        <w:kinsoku/>
        <w:wordWrap/>
        <w:overflowPunct/>
        <w:topLinePunct w:val="0"/>
        <w:bidi w:val="0"/>
        <w:adjustRightInd w:val="0"/>
        <w:snapToGrid w:val="0"/>
        <w:spacing w:line="600" w:lineRule="exact"/>
        <w:ind w:firstLine="643" w:firstLineChars="200"/>
        <w:textAlignment w:val="auto"/>
        <w:rPr>
          <w:rFonts w:ascii="黑体" w:hAnsi="黑体" w:eastAsia="黑体" w:cs="Times New Roman"/>
          <w:sz w:val="32"/>
          <w:szCs w:val="32"/>
        </w:rPr>
      </w:pPr>
      <w:r>
        <w:rPr>
          <w:rFonts w:hint="eastAsia" w:ascii="楷体" w:hAnsi="楷体" w:eastAsia="楷体"/>
          <w:b/>
          <w:sz w:val="32"/>
          <w:szCs w:val="32"/>
        </w:rPr>
        <w:t>（三）国有资产占用使用情况</w:t>
      </w:r>
      <w:r>
        <w:rPr>
          <w:rFonts w:ascii="黑体" w:hAnsi="黑体" w:eastAsia="黑体"/>
          <w:sz w:val="32"/>
          <w:szCs w:val="32"/>
        </w:rPr>
        <w:t xml:space="preserve"> </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2020年12月31日，本部门共有车辆3辆，其中：副部（省）级以上领导用车0辆、主要领导干部用车2辆、机要通信用车0辆、应急保障用车0辆、执法执勤用车0辆、特种专业技术用车0辆、离退休干部用车0辆、其他用车1辆；单价50万元（含）以上通用设备0台（套），单价100万元（含）以上专用设备0台（套）。</w:t>
      </w:r>
    </w:p>
    <w:p>
      <w:pPr>
        <w:keepNext w:val="0"/>
        <w:keepLines w:val="0"/>
        <w:pageBreakBefore w:val="0"/>
        <w:widowControl w:val="0"/>
        <w:kinsoku/>
        <w:wordWrap/>
        <w:overflowPunct/>
        <w:topLinePunct w:val="0"/>
        <w:bidi w:val="0"/>
        <w:ind w:firstLine="640" w:firstLineChars="200"/>
        <w:jc w:val="left"/>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bidi w:val="0"/>
        <w:ind w:firstLine="640" w:firstLineChars="200"/>
        <w:textAlignment w:val="auto"/>
        <w:rPr>
          <w:rFonts w:ascii="仿宋" w:hAnsi="仿宋" w:eastAsia="仿宋" w:cs="仿宋_GB2312"/>
          <w:sz w:val="32"/>
          <w:szCs w:val="32"/>
        </w:rPr>
      </w:pPr>
    </w:p>
    <w:p>
      <w:pPr>
        <w:pStyle w:val="2"/>
        <w:keepNext w:val="0"/>
        <w:keepLines w:val="0"/>
        <w:pageBreakBefore w:val="0"/>
        <w:widowControl w:val="0"/>
        <w:kinsoku/>
        <w:wordWrap/>
        <w:overflowPunct/>
        <w:topLinePunct w:val="0"/>
        <w:bidi w:val="0"/>
        <w:ind w:firstLine="640" w:firstLineChars="200"/>
        <w:textAlignment w:val="auto"/>
        <w:rPr>
          <w:rFonts w:ascii="仿宋" w:hAnsi="仿宋" w:eastAsia="仿宋" w:cs="仿宋_GB2312"/>
          <w:sz w:val="32"/>
          <w:szCs w:val="32"/>
        </w:rPr>
      </w:pPr>
    </w:p>
    <w:p>
      <w:pPr>
        <w:keepNext w:val="0"/>
        <w:keepLines w:val="0"/>
        <w:pageBreakBefore w:val="0"/>
        <w:widowControl w:val="0"/>
        <w:shd w:val="clear" w:color="auto" w:fill="FFFFFF"/>
        <w:kinsoku/>
        <w:wordWrap/>
        <w:overflowPunct/>
        <w:topLinePunct w:val="0"/>
        <w:bidi w:val="0"/>
        <w:spacing w:before="240" w:after="240" w:line="600" w:lineRule="atLeast"/>
        <w:ind w:firstLine="720" w:firstLineChars="200"/>
        <w:jc w:val="center"/>
        <w:textAlignment w:val="auto"/>
      </w:pPr>
      <w:r>
        <w:rPr>
          <w:rFonts w:ascii="黑体" w:hAnsi="黑体" w:eastAsia="黑体" w:cs="黑体"/>
          <w:sz w:val="36"/>
          <w:szCs w:val="36"/>
        </w:rPr>
        <w:t>第四部分 名词解释</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color w:val="000000"/>
          <w:sz w:val="32"/>
          <w:szCs w:val="32"/>
        </w:rPr>
        <w:t>一、一般公共预算财政拨款收入：</w:t>
      </w:r>
      <w:r>
        <w:rPr>
          <w:rFonts w:ascii="仿宋" w:hAnsi="仿宋" w:eastAsia="仿宋" w:cs="仿宋"/>
          <w:color w:val="000000"/>
          <w:sz w:val="32"/>
          <w:szCs w:val="32"/>
        </w:rPr>
        <w:t xml:space="preserve">指省级财政当年拨付的资金。 </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color w:val="000000"/>
          <w:sz w:val="32"/>
          <w:szCs w:val="32"/>
        </w:rPr>
        <w:t>二、事业收入：</w:t>
      </w:r>
      <w:r>
        <w:rPr>
          <w:rFonts w:ascii="仿宋" w:hAnsi="仿宋" w:eastAsia="仿宋" w:cs="仿宋"/>
          <w:color w:val="000000"/>
          <w:sz w:val="32"/>
          <w:szCs w:val="32"/>
        </w:rPr>
        <w:t>指事业单位开展专业业务活动及辅助活动所取得的收入。</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color w:val="000000"/>
          <w:sz w:val="32"/>
          <w:szCs w:val="32"/>
        </w:rPr>
        <w:t>三、经营收入：</w:t>
      </w:r>
      <w:r>
        <w:rPr>
          <w:rFonts w:ascii="仿宋" w:hAnsi="仿宋" w:eastAsia="仿宋" w:cs="仿宋"/>
          <w:color w:val="000000"/>
          <w:sz w:val="32"/>
          <w:szCs w:val="32"/>
        </w:rPr>
        <w:t xml:space="preserve">指事业单位在专业业务活动及其辅助活动之外开展非独立核算经营活动取得的收入。 </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color w:val="000000"/>
          <w:sz w:val="32"/>
          <w:szCs w:val="32"/>
        </w:rPr>
        <w:t>四、其他收入：</w:t>
      </w:r>
      <w:r>
        <w:rPr>
          <w:rFonts w:ascii="仿宋" w:hAnsi="仿宋" w:eastAsia="仿宋" w:cs="仿宋"/>
          <w:color w:val="000000"/>
          <w:sz w:val="32"/>
          <w:szCs w:val="32"/>
        </w:rPr>
        <w:t xml:space="preserve">指除上述“财政拨款收入”、“事业收入”、“经营收入”等以外的收入。主要是事业单位固定资产出租收入、存款利息收入等。 </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color w:val="000000"/>
          <w:sz w:val="32"/>
          <w:szCs w:val="32"/>
        </w:rPr>
        <w:t>五、使用非财政拨款结余：</w:t>
      </w:r>
      <w:r>
        <w:rPr>
          <w:rFonts w:ascii="仿宋" w:hAnsi="仿宋" w:eastAsia="仿宋" w:cs="仿宋"/>
          <w:color w:val="000000"/>
          <w:sz w:val="32"/>
          <w:szCs w:val="32"/>
        </w:rPr>
        <w:t xml:space="preserve">指事业单位使用以前年度积累的非财政拨款结余弥补当年收支差额的金额。 </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color w:val="000000"/>
          <w:sz w:val="32"/>
          <w:szCs w:val="32"/>
        </w:rPr>
        <w:t>六、年初结转和结余：</w:t>
      </w:r>
      <w:r>
        <w:rPr>
          <w:rFonts w:ascii="仿宋" w:hAnsi="仿宋" w:eastAsia="仿宋" w:cs="仿宋"/>
          <w:color w:val="000000"/>
          <w:sz w:val="32"/>
          <w:szCs w:val="32"/>
        </w:rPr>
        <w:t>指单位以前年度尚未完成、结转到本年仍按原规定用途继续使用的资金，或项目已完成等产生的结余资金。</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sz w:val="32"/>
          <w:szCs w:val="32"/>
        </w:rPr>
        <w:t>七、结余分配：</w:t>
      </w:r>
      <w:r>
        <w:rPr>
          <w:rFonts w:ascii="仿宋" w:hAnsi="仿宋" w:eastAsia="仿宋" w:cs="仿宋"/>
          <w:sz w:val="32"/>
          <w:szCs w:val="32"/>
        </w:rPr>
        <w:t xml:space="preserve">指事业单位按照会计制度规定缴纳的所得税、提取的专用结余以及转入非财政拨款结余的金额等。 </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sz w:val="32"/>
          <w:szCs w:val="32"/>
        </w:rPr>
        <w:t>八、年末结转和结余：</w:t>
      </w:r>
      <w:r>
        <w:rPr>
          <w:rFonts w:ascii="仿宋" w:hAnsi="仿宋" w:eastAsia="仿宋" w:cs="仿宋"/>
          <w:sz w:val="32"/>
          <w:szCs w:val="32"/>
        </w:rPr>
        <w:t xml:space="preserve">指单位按有关规定结转到下年或以后年度继续使用的资金，或项目已完成等产生的结余资金。 </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sz w:val="32"/>
          <w:szCs w:val="32"/>
        </w:rPr>
        <w:t>九、基本支出：</w:t>
      </w:r>
      <w:r>
        <w:rPr>
          <w:rFonts w:ascii="仿宋" w:hAnsi="仿宋" w:eastAsia="仿宋" w:cs="仿宋"/>
          <w:sz w:val="32"/>
          <w:szCs w:val="32"/>
        </w:rPr>
        <w:t xml:space="preserve">指为保障机构正常运转、完成日常工作任务而发生的人员支出和公用支出。 </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sz w:val="32"/>
          <w:szCs w:val="32"/>
        </w:rPr>
        <w:t>十、项目支出：</w:t>
      </w:r>
      <w:r>
        <w:rPr>
          <w:rFonts w:ascii="仿宋" w:hAnsi="仿宋" w:eastAsia="仿宋" w:cs="仿宋"/>
          <w:sz w:val="32"/>
          <w:szCs w:val="32"/>
        </w:rPr>
        <w:t xml:space="preserve">指在基本支出之外为完成特定行政任务和事业发展目标所发生的支出。 </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sz w:val="32"/>
          <w:szCs w:val="32"/>
        </w:rPr>
        <w:t>十一、经营支出：</w:t>
      </w:r>
      <w:r>
        <w:rPr>
          <w:rFonts w:ascii="仿宋" w:hAnsi="仿宋" w:eastAsia="仿宋" w:cs="仿宋"/>
          <w:sz w:val="32"/>
          <w:szCs w:val="32"/>
        </w:rPr>
        <w:t xml:space="preserve">指事业单位在专业业务活动及其辅助活动之外开展非独立核算经营活动发生的支出。 </w:t>
      </w:r>
    </w:p>
    <w:p>
      <w:pPr>
        <w:keepNext w:val="0"/>
        <w:keepLines w:val="0"/>
        <w:pageBreakBefore w:val="0"/>
        <w:widowControl w:val="0"/>
        <w:shd w:val="clear" w:color="auto" w:fill="FFFFFF"/>
        <w:kinsoku/>
        <w:wordWrap/>
        <w:overflowPunct/>
        <w:topLinePunct w:val="0"/>
        <w:bidi w:val="0"/>
        <w:spacing w:before="240" w:after="240" w:line="600" w:lineRule="atLeast"/>
        <w:ind w:firstLine="643" w:firstLineChars="200"/>
        <w:jc w:val="left"/>
        <w:textAlignment w:val="auto"/>
      </w:pPr>
      <w:r>
        <w:rPr>
          <w:rFonts w:ascii="仿宋" w:hAnsi="仿宋" w:eastAsia="仿宋" w:cs="仿宋"/>
          <w:b/>
          <w:bCs/>
          <w:sz w:val="32"/>
          <w:szCs w:val="32"/>
        </w:rPr>
        <w:t>十二、“三公”经费：</w:t>
      </w:r>
      <w:r>
        <w:rPr>
          <w:rFonts w:ascii="仿宋" w:hAnsi="仿宋" w:eastAsia="仿宋" w:cs="仿宋"/>
          <w:sz w:val="32"/>
          <w:szCs w:val="32"/>
        </w:rPr>
        <w:t xml:space="preserve">纳入省级财政预决算管理的“三公”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keepNext w:val="0"/>
        <w:keepLines w:val="0"/>
        <w:pageBreakBefore w:val="0"/>
        <w:widowControl w:val="0"/>
        <w:shd w:val="clear" w:color="auto" w:fill="FFFFFF"/>
        <w:kinsoku/>
        <w:wordWrap/>
        <w:overflowPunct/>
        <w:topLinePunct w:val="0"/>
        <w:bidi w:val="0"/>
        <w:spacing w:before="240" w:after="240"/>
        <w:ind w:firstLine="643" w:firstLineChars="200"/>
        <w:jc w:val="left"/>
        <w:textAlignment w:val="auto"/>
        <w:rPr>
          <w:rFonts w:ascii="仿宋" w:hAnsi="仿宋" w:eastAsia="仿宋"/>
          <w:sz w:val="32"/>
          <w:szCs w:val="32"/>
        </w:rPr>
      </w:pPr>
      <w:r>
        <w:rPr>
          <w:rFonts w:ascii="仿宋" w:hAnsi="仿宋" w:eastAsia="仿宋" w:cs="仿宋"/>
          <w:b/>
          <w:bCs/>
          <w:color w:val="000000"/>
          <w:sz w:val="32"/>
          <w:szCs w:val="32"/>
        </w:rPr>
        <w:t>十三、机关运行经费：</w:t>
      </w:r>
      <w:r>
        <w:rPr>
          <w:rFonts w:ascii="仿宋" w:hAnsi="仿宋" w:eastAsia="仿宋" w:cs="仿宋"/>
          <w:color w:val="000000"/>
          <w:sz w:val="32"/>
          <w:szCs w:val="32"/>
        </w:rPr>
        <w:t>为保障行政单位（含参照公务员法管理的事业单位）运行用于购买货物和服务的各项资金，包括办公及印刷费、邮电费、差旅费、会议</w:t>
      </w:r>
      <w:r>
        <w:rPr>
          <w:rFonts w:ascii="仿宋" w:hAnsi="仿宋" w:eastAsia="仿宋" w:cs="仿宋"/>
          <w:sz w:val="32"/>
          <w:szCs w:val="32"/>
        </w:rPr>
        <w:t>费、福利费、日常维修费、专用材料及一般设备购置费、办公用房水电费、办公用房取暖费、办公用房物业管理费、公务用车运行维护费以及其他费用。</w:t>
      </w:r>
      <w:bookmarkStart w:id="0" w:name="_GoBack"/>
      <w:bookmarkEnd w:id="0"/>
    </w:p>
    <w:sectPr>
      <w:footerReference r:id="rId5" w:type="default"/>
      <w:pgSz w:w="11906" w:h="16838"/>
      <w:pgMar w:top="1701" w:right="1531" w:bottom="1531" w:left="1531"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黑体.....">
    <w:altName w:val="黑体"/>
    <w:panose1 w:val="00000000000000000000"/>
    <w:charset w:val="86"/>
    <w:family w:val="swiss"/>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4404197"/>
    </w:sdtPr>
    <w:sdtContent>
      <w:p>
        <w:pPr>
          <w:pStyle w:val="3"/>
          <w:jc w:val="center"/>
        </w:pPr>
        <w:r>
          <w:fldChar w:fldCharType="begin"/>
        </w:r>
        <w:r>
          <w:instrText xml:space="preserve">PAGE   \* MERGEFORMAT</w:instrText>
        </w:r>
        <w:r>
          <w:fldChar w:fldCharType="separate"/>
        </w:r>
        <w:r>
          <w:rPr>
            <w:lang w:val="zh-CN"/>
          </w:rPr>
          <w:t>8</w:t>
        </w:r>
        <w:r>
          <w:rPr>
            <w:lang w:val="zh-CN"/>
          </w:rPr>
          <w:fldChar w:fldCharType="end"/>
        </w:r>
      </w:p>
    </w:sdtContent>
  </w:sdt>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F56BA8"/>
    <w:multiLevelType w:val="multilevel"/>
    <w:tmpl w:val="6BF56BA8"/>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9A9"/>
    <w:rsid w:val="0002351C"/>
    <w:rsid w:val="00051C06"/>
    <w:rsid w:val="0007452D"/>
    <w:rsid w:val="00086558"/>
    <w:rsid w:val="00093E4F"/>
    <w:rsid w:val="000D4846"/>
    <w:rsid w:val="000F1138"/>
    <w:rsid w:val="0010732F"/>
    <w:rsid w:val="0012746F"/>
    <w:rsid w:val="00132E7A"/>
    <w:rsid w:val="001618A9"/>
    <w:rsid w:val="00163B2A"/>
    <w:rsid w:val="00174ECC"/>
    <w:rsid w:val="001902C5"/>
    <w:rsid w:val="0019269E"/>
    <w:rsid w:val="00193F98"/>
    <w:rsid w:val="001A0FC3"/>
    <w:rsid w:val="001A33AC"/>
    <w:rsid w:val="001B32FC"/>
    <w:rsid w:val="001C0FCB"/>
    <w:rsid w:val="001D74F9"/>
    <w:rsid w:val="001E09A7"/>
    <w:rsid w:val="001F2684"/>
    <w:rsid w:val="001F448A"/>
    <w:rsid w:val="00215A7F"/>
    <w:rsid w:val="00217D41"/>
    <w:rsid w:val="00230EB6"/>
    <w:rsid w:val="00250E29"/>
    <w:rsid w:val="0027318D"/>
    <w:rsid w:val="00297723"/>
    <w:rsid w:val="002A38F1"/>
    <w:rsid w:val="002B3F36"/>
    <w:rsid w:val="002C2A68"/>
    <w:rsid w:val="002C6AB2"/>
    <w:rsid w:val="002D0D7D"/>
    <w:rsid w:val="002D4CD2"/>
    <w:rsid w:val="002E00EF"/>
    <w:rsid w:val="002E7265"/>
    <w:rsid w:val="00306AAB"/>
    <w:rsid w:val="00340EF1"/>
    <w:rsid w:val="003816E6"/>
    <w:rsid w:val="003C28CE"/>
    <w:rsid w:val="003F0DEA"/>
    <w:rsid w:val="003F4340"/>
    <w:rsid w:val="003F76FA"/>
    <w:rsid w:val="004430A6"/>
    <w:rsid w:val="00457F2F"/>
    <w:rsid w:val="0048416F"/>
    <w:rsid w:val="004F1FFD"/>
    <w:rsid w:val="004F2B7A"/>
    <w:rsid w:val="004F4A94"/>
    <w:rsid w:val="004F60FA"/>
    <w:rsid w:val="00501A7A"/>
    <w:rsid w:val="005103AE"/>
    <w:rsid w:val="00515FF1"/>
    <w:rsid w:val="005202C8"/>
    <w:rsid w:val="005272F7"/>
    <w:rsid w:val="00540990"/>
    <w:rsid w:val="00547FED"/>
    <w:rsid w:val="00551698"/>
    <w:rsid w:val="005550C3"/>
    <w:rsid w:val="005636F9"/>
    <w:rsid w:val="005B21CC"/>
    <w:rsid w:val="005C4F6D"/>
    <w:rsid w:val="005C6502"/>
    <w:rsid w:val="005C7CE0"/>
    <w:rsid w:val="005E6E29"/>
    <w:rsid w:val="005F49CE"/>
    <w:rsid w:val="006344C4"/>
    <w:rsid w:val="0064397E"/>
    <w:rsid w:val="00644184"/>
    <w:rsid w:val="006474C8"/>
    <w:rsid w:val="00690A8C"/>
    <w:rsid w:val="006A3BD6"/>
    <w:rsid w:val="006D6AF4"/>
    <w:rsid w:val="006E094F"/>
    <w:rsid w:val="00707CDE"/>
    <w:rsid w:val="007265F0"/>
    <w:rsid w:val="00730BF2"/>
    <w:rsid w:val="007455D0"/>
    <w:rsid w:val="0075467A"/>
    <w:rsid w:val="00767821"/>
    <w:rsid w:val="00772E81"/>
    <w:rsid w:val="00776C80"/>
    <w:rsid w:val="007821A4"/>
    <w:rsid w:val="00783546"/>
    <w:rsid w:val="00791937"/>
    <w:rsid w:val="007A0CC4"/>
    <w:rsid w:val="007A599F"/>
    <w:rsid w:val="007B05ED"/>
    <w:rsid w:val="007B0B86"/>
    <w:rsid w:val="007B688B"/>
    <w:rsid w:val="007B6D34"/>
    <w:rsid w:val="007C08A4"/>
    <w:rsid w:val="007E27C3"/>
    <w:rsid w:val="007F1B78"/>
    <w:rsid w:val="007F1BFC"/>
    <w:rsid w:val="00812434"/>
    <w:rsid w:val="00825648"/>
    <w:rsid w:val="0082687E"/>
    <w:rsid w:val="0083088A"/>
    <w:rsid w:val="00832783"/>
    <w:rsid w:val="0085102F"/>
    <w:rsid w:val="008570CD"/>
    <w:rsid w:val="00857B1A"/>
    <w:rsid w:val="00866A46"/>
    <w:rsid w:val="00875191"/>
    <w:rsid w:val="00883CFD"/>
    <w:rsid w:val="0089210B"/>
    <w:rsid w:val="00894010"/>
    <w:rsid w:val="00895C60"/>
    <w:rsid w:val="008B2DBB"/>
    <w:rsid w:val="008D6DB5"/>
    <w:rsid w:val="008E2705"/>
    <w:rsid w:val="008F76CB"/>
    <w:rsid w:val="009132B2"/>
    <w:rsid w:val="00915052"/>
    <w:rsid w:val="00944765"/>
    <w:rsid w:val="009B4473"/>
    <w:rsid w:val="009C742B"/>
    <w:rsid w:val="009E45AA"/>
    <w:rsid w:val="00A2663D"/>
    <w:rsid w:val="00A30400"/>
    <w:rsid w:val="00A40914"/>
    <w:rsid w:val="00A44ABF"/>
    <w:rsid w:val="00A77F55"/>
    <w:rsid w:val="00AA51A1"/>
    <w:rsid w:val="00AF47E3"/>
    <w:rsid w:val="00B02F45"/>
    <w:rsid w:val="00B409A9"/>
    <w:rsid w:val="00B62DAF"/>
    <w:rsid w:val="00B73FFB"/>
    <w:rsid w:val="00B85863"/>
    <w:rsid w:val="00B949B5"/>
    <w:rsid w:val="00B94A91"/>
    <w:rsid w:val="00B95CDC"/>
    <w:rsid w:val="00B9624A"/>
    <w:rsid w:val="00BB547D"/>
    <w:rsid w:val="00BB6DA8"/>
    <w:rsid w:val="00BC0E2F"/>
    <w:rsid w:val="00BD45E7"/>
    <w:rsid w:val="00BE21C6"/>
    <w:rsid w:val="00C01DE0"/>
    <w:rsid w:val="00C07C60"/>
    <w:rsid w:val="00C122CC"/>
    <w:rsid w:val="00C43427"/>
    <w:rsid w:val="00C44C5F"/>
    <w:rsid w:val="00C71082"/>
    <w:rsid w:val="00C82ECE"/>
    <w:rsid w:val="00C85D5F"/>
    <w:rsid w:val="00C86AC0"/>
    <w:rsid w:val="00CA728F"/>
    <w:rsid w:val="00CC4D19"/>
    <w:rsid w:val="00CC6497"/>
    <w:rsid w:val="00CD26E1"/>
    <w:rsid w:val="00CD35BB"/>
    <w:rsid w:val="00CD49AD"/>
    <w:rsid w:val="00D0143C"/>
    <w:rsid w:val="00D16133"/>
    <w:rsid w:val="00D21475"/>
    <w:rsid w:val="00D25C89"/>
    <w:rsid w:val="00D35937"/>
    <w:rsid w:val="00D502CB"/>
    <w:rsid w:val="00D52F5C"/>
    <w:rsid w:val="00D74882"/>
    <w:rsid w:val="00D90438"/>
    <w:rsid w:val="00D950FE"/>
    <w:rsid w:val="00DA62C0"/>
    <w:rsid w:val="00DB1AB3"/>
    <w:rsid w:val="00DC204B"/>
    <w:rsid w:val="00DC22E6"/>
    <w:rsid w:val="00DD151D"/>
    <w:rsid w:val="00DD20C8"/>
    <w:rsid w:val="00E009F2"/>
    <w:rsid w:val="00E02A9B"/>
    <w:rsid w:val="00E05C73"/>
    <w:rsid w:val="00E060C6"/>
    <w:rsid w:val="00E104EE"/>
    <w:rsid w:val="00E11CDB"/>
    <w:rsid w:val="00E47C61"/>
    <w:rsid w:val="00E51ED9"/>
    <w:rsid w:val="00E5261E"/>
    <w:rsid w:val="00E61B46"/>
    <w:rsid w:val="00E70C9D"/>
    <w:rsid w:val="00E755C4"/>
    <w:rsid w:val="00E7642C"/>
    <w:rsid w:val="00E933DB"/>
    <w:rsid w:val="00E95A37"/>
    <w:rsid w:val="00E95B2B"/>
    <w:rsid w:val="00EA50C7"/>
    <w:rsid w:val="00ED064A"/>
    <w:rsid w:val="00ED65EA"/>
    <w:rsid w:val="00EE33FE"/>
    <w:rsid w:val="00EE5E11"/>
    <w:rsid w:val="00EF1A66"/>
    <w:rsid w:val="00EF53E0"/>
    <w:rsid w:val="00F01815"/>
    <w:rsid w:val="00F0403E"/>
    <w:rsid w:val="00F135E2"/>
    <w:rsid w:val="00F21CD2"/>
    <w:rsid w:val="00F26985"/>
    <w:rsid w:val="00FB707A"/>
    <w:rsid w:val="00FC38B5"/>
    <w:rsid w:val="135B4417"/>
    <w:rsid w:val="1A470077"/>
    <w:rsid w:val="1F75100D"/>
    <w:rsid w:val="21940459"/>
    <w:rsid w:val="2C880298"/>
    <w:rsid w:val="320B2F17"/>
    <w:rsid w:val="4278453B"/>
    <w:rsid w:val="42D036D2"/>
    <w:rsid w:val="4A2F7EFC"/>
    <w:rsid w:val="4D973787"/>
    <w:rsid w:val="526C50E8"/>
    <w:rsid w:val="5751361F"/>
    <w:rsid w:val="5A2502EC"/>
    <w:rsid w:val="5FF94D5D"/>
    <w:rsid w:val="63437A36"/>
    <w:rsid w:val="638F6188"/>
    <w:rsid w:val="67363F03"/>
    <w:rsid w:val="6883505E"/>
    <w:rsid w:val="6B84466E"/>
    <w:rsid w:val="747C4944"/>
    <w:rsid w:val="74A03D8C"/>
    <w:rsid w:val="7B456E96"/>
    <w:rsid w:val="7DBD170A"/>
    <w:rsid w:val="7FEA69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pPr>
      <w:spacing w:line="240" w:lineRule="auto"/>
    </w:pPr>
    <w:rPr>
      <w:sz w:val="18"/>
      <w:szCs w:val="18"/>
    </w:rPr>
  </w:style>
  <w:style w:type="paragraph" w:styleId="3">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customStyle="1" w:styleId="7">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8">
    <w:name w:val="List Paragraph"/>
    <w:basedOn w:val="1"/>
    <w:qFormat/>
    <w:uiPriority w:val="34"/>
    <w:pPr>
      <w:ind w:firstLine="420" w:firstLineChars="200"/>
    </w:pPr>
  </w:style>
  <w:style w:type="character" w:customStyle="1" w:styleId="9">
    <w:name w:val="批注框文本 Char"/>
    <w:basedOn w:val="6"/>
    <w:link w:val="2"/>
    <w:semiHidden/>
    <w:qFormat/>
    <w:uiPriority w:val="99"/>
    <w:rPr>
      <w:sz w:val="18"/>
      <w:szCs w:val="18"/>
    </w:r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paragraph" w:styleId="12">
    <w:name w:val="No Spacing"/>
    <w:link w:val="13"/>
    <w:qFormat/>
    <w:uiPriority w:val="1"/>
    <w:rPr>
      <w:rFonts w:asciiTheme="minorHAnsi" w:hAnsiTheme="minorHAnsi" w:eastAsiaTheme="minorEastAsia" w:cstheme="minorBidi"/>
      <w:sz w:val="22"/>
      <w:szCs w:val="22"/>
      <w:lang w:val="en-US" w:eastAsia="zh-CN" w:bidi="ar-SA"/>
    </w:rPr>
  </w:style>
  <w:style w:type="character" w:customStyle="1" w:styleId="13">
    <w:name w:val="无间隔 Char"/>
    <w:basedOn w:val="6"/>
    <w:link w:val="12"/>
    <w:qFormat/>
    <w:uiPriority w:val="1"/>
    <w:rPr>
      <w:kern w:val="0"/>
      <w:sz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643D72-E41C-47A7-8AA9-B7C34DF10BD7}">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25</Pages>
  <Words>1994</Words>
  <Characters>11366</Characters>
  <Lines>94</Lines>
  <Paragraphs>26</Paragraphs>
  <TotalTime>0</TotalTime>
  <ScaleCrop>false</ScaleCrop>
  <LinksUpToDate>false</LinksUpToDate>
  <CharactersWithSpaces>13334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2019-06-28T01:47:00Z</dcterms:created>
  <dc:creator>刘菁</dc:creator>
  <cp:lastModifiedBy>Administrator</cp:lastModifiedBy>
  <cp:lastPrinted>2021-06-24T03:16:00Z</cp:lastPrinted>
  <dcterms:modified xsi:type="dcterms:W3CDTF">2021-10-21T08:02:49Z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17BD8099B83A4D6F8170098D9F48CE56</vt:lpwstr>
  </property>
</Properties>
</file>