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仿宋" w:hAnsi="仿宋" w:eastAsia="仿宋"/>
          <w:b/>
          <w:sz w:val="32"/>
          <w:szCs w:val="32"/>
        </w:rPr>
      </w:pPr>
    </w:p>
    <w:p>
      <w:pPr>
        <w:spacing w:line="600" w:lineRule="exact"/>
        <w:jc w:val="center"/>
        <w:rPr>
          <w:rFonts w:hint="eastAsia" w:ascii="仿宋" w:hAnsi="仿宋" w:eastAsia="仿宋"/>
          <w:b/>
          <w:sz w:val="32"/>
          <w:szCs w:val="32"/>
        </w:rPr>
      </w:pPr>
    </w:p>
    <w:p>
      <w:pPr>
        <w:spacing w:line="600" w:lineRule="exact"/>
        <w:jc w:val="center"/>
        <w:rPr>
          <w:rFonts w:hint="eastAsia" w:ascii="仿宋" w:hAnsi="仿宋" w:eastAsia="仿宋"/>
          <w:b/>
          <w:sz w:val="32"/>
          <w:szCs w:val="32"/>
        </w:rPr>
      </w:pPr>
    </w:p>
    <w:p>
      <w:pPr>
        <w:spacing w:line="600" w:lineRule="exact"/>
        <w:jc w:val="center"/>
        <w:rPr>
          <w:rFonts w:hint="eastAsia" w:ascii="仿宋" w:hAnsi="仿宋" w:eastAsia="仿宋"/>
          <w:b/>
          <w:sz w:val="32"/>
          <w:szCs w:val="32"/>
        </w:rPr>
      </w:pPr>
    </w:p>
    <w:p>
      <w:pPr>
        <w:spacing w:line="600" w:lineRule="exact"/>
        <w:jc w:val="center"/>
        <w:rPr>
          <w:rFonts w:hint="eastAsia" w:ascii="仿宋" w:hAnsi="仿宋" w:eastAsia="仿宋"/>
          <w:b/>
          <w:sz w:val="32"/>
          <w:szCs w:val="32"/>
        </w:rPr>
      </w:pPr>
    </w:p>
    <w:p>
      <w:pPr>
        <w:spacing w:line="600" w:lineRule="exact"/>
        <w:jc w:val="center"/>
        <w:rPr>
          <w:rFonts w:hint="eastAsia" w:ascii="仿宋" w:hAnsi="仿宋" w:eastAsia="仿宋"/>
          <w:b/>
          <w:sz w:val="32"/>
          <w:szCs w:val="32"/>
        </w:rPr>
      </w:pPr>
    </w:p>
    <w:p>
      <w:pPr>
        <w:spacing w:line="600" w:lineRule="exact"/>
        <w:jc w:val="center"/>
        <w:rPr>
          <w:rFonts w:hint="eastAsia" w:ascii="仿宋" w:hAnsi="仿宋" w:eastAsia="仿宋"/>
          <w:sz w:val="32"/>
          <w:szCs w:val="32"/>
        </w:rPr>
      </w:pPr>
    </w:p>
    <w:p>
      <w:pPr>
        <w:spacing w:line="600" w:lineRule="exact"/>
        <w:jc w:val="center"/>
        <w:rPr>
          <w:rFonts w:hint="eastAsia" w:ascii="仿宋_GB2312" w:hAnsi="仿宋" w:eastAsia="仿宋_GB2312"/>
          <w:sz w:val="32"/>
          <w:szCs w:val="32"/>
        </w:rPr>
      </w:pPr>
      <w:r>
        <w:rPr>
          <w:rFonts w:hint="eastAsia" w:ascii="仿宋_GB2312" w:hAnsi="仿宋" w:eastAsia="仿宋_GB2312"/>
          <w:sz w:val="32"/>
          <w:szCs w:val="32"/>
        </w:rPr>
        <w:t>连商务〔2018〕 号</w:t>
      </w:r>
    </w:p>
    <w:p>
      <w:pPr>
        <w:spacing w:line="560" w:lineRule="exact"/>
        <w:jc w:val="center"/>
        <w:rPr>
          <w:rFonts w:hint="eastAsia" w:ascii="仿宋" w:hAnsi="仿宋" w:eastAsia="仿宋"/>
          <w:sz w:val="32"/>
          <w:szCs w:val="32"/>
        </w:rPr>
      </w:pPr>
    </w:p>
    <w:p>
      <w:pPr>
        <w:spacing w:line="560" w:lineRule="exact"/>
        <w:jc w:val="center"/>
        <w:rPr>
          <w:rFonts w:hint="eastAsia" w:ascii="仿宋" w:hAnsi="仿宋" w:eastAsia="仿宋"/>
          <w:sz w:val="32"/>
          <w:szCs w:val="32"/>
        </w:rPr>
      </w:pPr>
    </w:p>
    <w:p>
      <w:pPr>
        <w:widowControl/>
        <w:spacing w:line="520" w:lineRule="exact"/>
        <w:jc w:val="center"/>
        <w:rPr>
          <w:rFonts w:hint="eastAsia" w:ascii="方正小标宋简体" w:hAnsi="仿宋" w:eastAsia="方正小标宋简体" w:cs="宋体"/>
          <w:b/>
          <w:color w:val="333333"/>
          <w:kern w:val="0"/>
          <w:sz w:val="36"/>
          <w:szCs w:val="36"/>
        </w:rPr>
      </w:pPr>
    </w:p>
    <w:p>
      <w:pPr>
        <w:widowControl/>
        <w:spacing w:line="520" w:lineRule="exact"/>
        <w:jc w:val="center"/>
        <w:rPr>
          <w:rFonts w:hint="eastAsia" w:ascii="方正小标宋简体" w:hAnsi="仿宋" w:eastAsia="方正小标宋简体" w:cs="宋体"/>
          <w:b/>
          <w:color w:val="333333"/>
          <w:kern w:val="0"/>
          <w:sz w:val="36"/>
          <w:szCs w:val="36"/>
        </w:rPr>
      </w:pPr>
      <w:r>
        <w:rPr>
          <w:rFonts w:hint="eastAsia" w:ascii="方正小标宋简体" w:hAnsi="仿宋" w:eastAsia="方正小标宋简体" w:cs="宋体"/>
          <w:b/>
          <w:color w:val="333333"/>
          <w:kern w:val="0"/>
          <w:sz w:val="36"/>
          <w:szCs w:val="36"/>
        </w:rPr>
        <w:t>连城县商务局县级财政项目支出绩效评价报告</w:t>
      </w:r>
    </w:p>
    <w:p>
      <w:pPr>
        <w:pStyle w:val="2"/>
        <w:keepNext w:val="0"/>
        <w:keepLines w:val="0"/>
        <w:pageBreakBefore w:val="0"/>
        <w:kinsoku/>
        <w:wordWrap/>
        <w:topLinePunct w:val="0"/>
        <w:autoSpaceDE/>
        <w:autoSpaceDN/>
        <w:bidi w:val="0"/>
        <w:adjustRightInd/>
        <w:snapToGrid/>
        <w:spacing w:before="0" w:beforeAutospacing="0" w:after="0" w:afterAutospacing="0" w:line="520" w:lineRule="exact"/>
        <w:ind w:left="0" w:leftChars="0" w:firstLine="885" w:firstLineChars="245"/>
        <w:textAlignment w:val="auto"/>
        <w:rPr>
          <w:rFonts w:hint="eastAsia" w:ascii="仿宋_GB2312" w:eastAsia="仿宋_GB2312"/>
        </w:rPr>
      </w:pPr>
    </w:p>
    <w:p>
      <w:pPr>
        <w:pStyle w:val="2"/>
        <w:keepNext w:val="0"/>
        <w:keepLines w:val="0"/>
        <w:pageBreakBefore w:val="0"/>
        <w:kinsoku/>
        <w:wordWrap/>
        <w:topLinePunct w:val="0"/>
        <w:autoSpaceDE/>
        <w:autoSpaceDN/>
        <w:bidi w:val="0"/>
        <w:adjustRightInd/>
        <w:snapToGrid/>
        <w:spacing w:before="0" w:beforeAutospacing="0" w:after="0" w:afterAutospacing="0" w:line="520" w:lineRule="exact"/>
        <w:ind w:left="0" w:leftChars="0" w:firstLine="885" w:firstLineChars="245"/>
        <w:textAlignment w:val="auto"/>
        <w:rPr>
          <w:rFonts w:hint="eastAsia" w:ascii="仿宋_GB2312" w:eastAsia="仿宋_GB2312"/>
        </w:rPr>
      </w:pPr>
      <w:r>
        <w:rPr>
          <w:rFonts w:hint="eastAsia" w:ascii="仿宋_GB2312" w:eastAsia="仿宋_GB2312"/>
        </w:rPr>
        <w:t>一、项目基本情况</w:t>
      </w:r>
    </w:p>
    <w:p>
      <w:pPr>
        <w:pStyle w:val="2"/>
        <w:keepNext w:val="0"/>
        <w:keepLines w:val="0"/>
        <w:pageBreakBefore w:val="0"/>
        <w:kinsoku/>
        <w:wordWrap/>
        <w:topLinePunct w:val="0"/>
        <w:autoSpaceDE/>
        <w:autoSpaceDN/>
        <w:bidi w:val="0"/>
        <w:adjustRightInd/>
        <w:snapToGrid/>
        <w:spacing w:before="0" w:beforeAutospacing="0" w:after="0" w:afterAutospacing="0" w:line="520" w:lineRule="exact"/>
        <w:ind w:left="0" w:leftChars="0" w:firstLine="630" w:firstLineChars="196"/>
        <w:textAlignment w:val="auto"/>
        <w:rPr>
          <w:rFonts w:hint="eastAsia" w:ascii="仿宋_GB2312" w:eastAsia="仿宋_GB2312"/>
          <w:sz w:val="32"/>
          <w:szCs w:val="32"/>
        </w:rPr>
      </w:pPr>
      <w:r>
        <w:rPr>
          <w:rFonts w:hint="eastAsia" w:ascii="仿宋_GB2312" w:eastAsia="仿宋_GB2312"/>
          <w:sz w:val="32"/>
          <w:szCs w:val="32"/>
        </w:rPr>
        <w:t>（一）项目单位基本情况</w:t>
      </w:r>
    </w:p>
    <w:p>
      <w:pPr>
        <w:keepNext w:val="0"/>
        <w:keepLines w:val="0"/>
        <w:pageBreakBefore w:val="0"/>
        <w:kinsoku/>
        <w:wordWrap/>
        <w:topLinePunct w:val="0"/>
        <w:autoSpaceDE/>
        <w:autoSpaceDN/>
        <w:bidi w:val="0"/>
        <w:adjustRightInd/>
        <w:snapToGrid/>
        <w:spacing w:beforeAutospacing="0" w:afterAutospacing="0" w:line="520" w:lineRule="exact"/>
        <w:ind w:left="0" w:leftChars="0" w:firstLine="640" w:firstLineChars="200"/>
        <w:textAlignment w:val="auto"/>
        <w:rPr>
          <w:rFonts w:hint="eastAsia" w:ascii="仿宋_GB2312" w:hAnsi="楷体" w:eastAsia="仿宋_GB2312"/>
          <w:snapToGrid w:val="0"/>
          <w:kern w:val="0"/>
          <w:sz w:val="32"/>
          <w:szCs w:val="32"/>
        </w:rPr>
      </w:pPr>
      <w:r>
        <w:rPr>
          <w:rFonts w:hint="eastAsia" w:ascii="仿宋_GB2312" w:eastAsia="仿宋_GB2312"/>
          <w:snapToGrid w:val="0"/>
          <w:kern w:val="0"/>
          <w:sz w:val="32"/>
          <w:szCs w:val="32"/>
        </w:rPr>
        <w:t>2015年2月成立县商务局，将第三产业发展职责、原县经济贸易局内贸管理的职责、对外贸易经济合作的职责整合，组建县商务局，为县政府工作部门。县商务局机关行政编制为5名。核定科级领导职数4名，其中：局长1名，副局长2名，副主任科员1名；正股级职数5名。内设5个职能股室，分别是：</w:t>
      </w:r>
      <w:r>
        <w:rPr>
          <w:rFonts w:hint="eastAsia" w:ascii="仿宋_GB2312" w:eastAsia="仿宋_GB2312"/>
          <w:sz w:val="32"/>
          <w:szCs w:val="32"/>
        </w:rPr>
        <w:t>综合股（加挂政策法规股牌子）、行政审批股、</w:t>
      </w:r>
      <w:r>
        <w:rPr>
          <w:rFonts w:hint="eastAsia" w:ascii="仿宋_GB2312" w:hAnsi="楷体" w:eastAsia="仿宋_GB2312"/>
          <w:snapToGrid w:val="0"/>
          <w:kern w:val="0"/>
          <w:sz w:val="32"/>
          <w:szCs w:val="32"/>
        </w:rPr>
        <w:t>市场与流通管理股（加挂安全管理股牌子）、对外贸易管理股（加挂对外经济技术合作管理股牌子）、服务业发展股（加挂电子商务和信息化股牌子）</w:t>
      </w:r>
      <w:r>
        <w:rPr>
          <w:rFonts w:hint="eastAsia" w:ascii="仿宋_GB2312" w:eastAsia="仿宋_GB2312"/>
          <w:snapToGrid w:val="0"/>
          <w:kern w:val="0"/>
          <w:sz w:val="32"/>
          <w:szCs w:val="32"/>
        </w:rPr>
        <w:t>；下属2个事业单位：</w:t>
      </w:r>
      <w:r>
        <w:rPr>
          <w:rFonts w:hint="eastAsia" w:ascii="仿宋_GB2312" w:hAnsi="楷体" w:eastAsia="仿宋_GB2312"/>
          <w:snapToGrid w:val="0"/>
          <w:kern w:val="0"/>
          <w:sz w:val="32"/>
          <w:szCs w:val="32"/>
        </w:rPr>
        <w:t>县商务行政执法大队和县第三产业办公室（加挂连城县电子商务服务中心），核定编制数分别为7名和5名。</w:t>
      </w:r>
    </w:p>
    <w:p>
      <w:pPr>
        <w:keepNext w:val="0"/>
        <w:keepLines w:val="0"/>
        <w:pageBreakBefore w:val="0"/>
        <w:kinsoku/>
        <w:wordWrap/>
        <w:topLinePunct w:val="0"/>
        <w:autoSpaceDE/>
        <w:autoSpaceDN/>
        <w:bidi w:val="0"/>
        <w:adjustRightInd/>
        <w:snapToGrid/>
        <w:spacing w:beforeAutospacing="0" w:afterAutospacing="0" w:line="520" w:lineRule="exact"/>
        <w:ind w:left="0" w:leftChars="0" w:firstLine="643" w:firstLineChars="200"/>
        <w:textAlignment w:val="auto"/>
        <w:rPr>
          <w:rFonts w:hint="eastAsia" w:ascii="仿宋_GB2312" w:hAnsi="Arial" w:eastAsia="仿宋_GB2312"/>
          <w:b/>
          <w:bCs/>
          <w:kern w:val="0"/>
          <w:sz w:val="32"/>
          <w:szCs w:val="32"/>
        </w:rPr>
      </w:pPr>
      <w:r>
        <w:rPr>
          <w:rFonts w:hint="eastAsia" w:ascii="仿宋_GB2312" w:hAnsi="Arial" w:eastAsia="仿宋_GB2312"/>
          <w:b/>
          <w:bCs/>
          <w:kern w:val="0"/>
          <w:sz w:val="32"/>
          <w:szCs w:val="32"/>
        </w:rPr>
        <w:t>（二）项目基本情况</w:t>
      </w:r>
    </w:p>
    <w:p>
      <w:pPr>
        <w:pStyle w:val="8"/>
        <w:keepNext w:val="0"/>
        <w:keepLines w:val="0"/>
        <w:pageBreakBefore w:val="0"/>
        <w:kinsoku/>
        <w:wordWrap/>
        <w:topLinePunct w:val="0"/>
        <w:autoSpaceDE/>
        <w:autoSpaceDN/>
        <w:bidi w:val="0"/>
        <w:adjustRightInd/>
        <w:snapToGrid/>
        <w:spacing w:beforeAutospacing="0" w:afterAutospacing="0" w:line="520" w:lineRule="exact"/>
        <w:ind w:left="0" w:leftChars="0" w:firstLine="640" w:firstLineChars="200"/>
        <w:textAlignment w:val="auto"/>
        <w:rPr>
          <w:rFonts w:ascii="Times New Roman" w:hAnsi="Times New Roman" w:eastAsia="仿宋_GB2312"/>
          <w:sz w:val="32"/>
          <w:szCs w:val="32"/>
        </w:rPr>
      </w:pPr>
      <w:r>
        <w:rPr>
          <w:rFonts w:hint="eastAsia" w:ascii="仿宋_GB2312" w:hAnsi="仿宋_GB2312" w:eastAsia="仿宋_GB2312" w:cs="仿宋_GB2312"/>
          <w:color w:val="000000"/>
          <w:kern w:val="0"/>
          <w:sz w:val="32"/>
          <w:szCs w:val="32"/>
        </w:rPr>
        <w:t>项目名称：</w:t>
      </w:r>
      <w:r>
        <w:rPr>
          <w:rFonts w:hint="eastAsia" w:ascii="仿宋_GB2312" w:hAnsi="仿宋_GB2312" w:eastAsia="仿宋_GB2312" w:cs="仿宋_GB2312"/>
          <w:color w:val="000000"/>
          <w:kern w:val="0"/>
          <w:sz w:val="32"/>
          <w:szCs w:val="32"/>
          <w:lang w:val="en-US" w:eastAsia="zh-CN"/>
        </w:rPr>
        <w:t>连城县服务业发展专项资金,</w:t>
      </w:r>
      <w:r>
        <w:rPr>
          <w:rFonts w:ascii="Times New Roman" w:hAnsi="Times New Roman" w:eastAsia="仿宋_GB2312"/>
          <w:sz w:val="32"/>
          <w:szCs w:val="32"/>
        </w:rPr>
        <w:t>以电子商务进农村综合示范县建设为抓手，以聚焦农村产品上行</w:t>
      </w:r>
      <w:r>
        <w:rPr>
          <w:rFonts w:hint="eastAsia" w:ascii="Times New Roman" w:hAnsi="Times New Roman" w:eastAsia="仿宋_GB2312"/>
          <w:sz w:val="32"/>
          <w:szCs w:val="32"/>
        </w:rPr>
        <w:t>为目标，充分发挥市场与政府合力，调动各方积极性，重点依托大型龙头物流快递企业、电商企业，紧紧围绕“一中心六体系”做好综合示范建设工作。通过全国电子商务综合示范县建设工作，使电子商务在便利农民生产生活、助力扶贫攻坚、促进农村经济发展等方面取</w:t>
      </w:r>
      <w:r>
        <w:rPr>
          <w:rFonts w:ascii="Times New Roman" w:hAnsi="Times New Roman" w:eastAsia="仿宋_GB2312"/>
          <w:sz w:val="32"/>
          <w:szCs w:val="32"/>
        </w:rPr>
        <w:t>得明显成效。</w:t>
      </w:r>
    </w:p>
    <w:p>
      <w:pPr>
        <w:pStyle w:val="8"/>
        <w:keepNext w:val="0"/>
        <w:keepLines w:val="0"/>
        <w:pageBreakBefore w:val="0"/>
        <w:kinsoku/>
        <w:wordWrap/>
        <w:topLinePunct w:val="0"/>
        <w:autoSpaceDE/>
        <w:autoSpaceDN/>
        <w:bidi w:val="0"/>
        <w:adjustRightInd/>
        <w:snapToGrid/>
        <w:spacing w:beforeAutospacing="0" w:afterAutospacing="0" w:line="52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ascii="Times New Roman" w:hAnsi="Times New Roman" w:eastAsia="仿宋_GB2312"/>
          <w:sz w:val="32"/>
          <w:szCs w:val="32"/>
        </w:rPr>
        <w:t>电商服务站点行政村覆盖率达到50%，农村网络零售额同比增长20%，农产品网络零售额同比增长30%，电商培训人数3000人次以上。</w:t>
      </w:r>
    </w:p>
    <w:p>
      <w:pPr>
        <w:keepNext w:val="0"/>
        <w:keepLines w:val="0"/>
        <w:pageBreakBefore w:val="0"/>
        <w:kinsoku/>
        <w:wordWrap/>
        <w:topLinePunct w:val="0"/>
        <w:autoSpaceDE/>
        <w:autoSpaceDN/>
        <w:bidi w:val="0"/>
        <w:adjustRightInd/>
        <w:snapToGrid/>
        <w:spacing w:beforeAutospacing="0" w:afterAutospacing="0" w:line="520" w:lineRule="exact"/>
        <w:ind w:left="0" w:leftChars="0" w:firstLine="708" w:firstLineChars="196"/>
        <w:textAlignment w:val="auto"/>
        <w:rPr>
          <w:rFonts w:hint="eastAsia" w:ascii="仿宋_GB2312" w:eastAsia="仿宋_GB2312"/>
          <w:b/>
          <w:kern w:val="0"/>
          <w:sz w:val="36"/>
          <w:szCs w:val="36"/>
        </w:rPr>
      </w:pPr>
      <w:r>
        <w:rPr>
          <w:rFonts w:hint="eastAsia"/>
          <w:b/>
          <w:sz w:val="36"/>
          <w:szCs w:val="36"/>
        </w:rPr>
        <w:t>二、</w:t>
      </w:r>
      <w:r>
        <w:rPr>
          <w:rFonts w:hint="eastAsia" w:ascii="仿宋_GB2312" w:eastAsia="仿宋_GB2312"/>
          <w:b/>
          <w:kern w:val="0"/>
          <w:sz w:val="36"/>
          <w:szCs w:val="36"/>
        </w:rPr>
        <w:t>绩效自评工作开展情况</w:t>
      </w:r>
    </w:p>
    <w:p>
      <w:pPr>
        <w:keepNext w:val="0"/>
        <w:keepLines w:val="0"/>
        <w:pageBreakBefore w:val="0"/>
        <w:kinsoku/>
        <w:wordWrap/>
        <w:topLinePunct w:val="0"/>
        <w:autoSpaceDE/>
        <w:autoSpaceDN/>
        <w:bidi w:val="0"/>
        <w:adjustRightInd/>
        <w:snapToGrid/>
        <w:spacing w:beforeAutospacing="0" w:afterAutospacing="0" w:line="520" w:lineRule="exact"/>
        <w:ind w:left="0" w:leftChars="0"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（一）前期准备：组织本次绩效自评相关人员全面学习政策，学习有关《财政支出绩效评价管理暂行办法》、《加工贸易梯度转移重点承接地建设资金管理暂行办法》、《中国制造</w:t>
      </w:r>
      <w:r>
        <w:rPr>
          <w:rFonts w:ascii="仿宋_GB2312" w:hAnsi="仿宋_GB2312" w:eastAsia="仿宋_GB2312" w:cs="仿宋_GB2312"/>
          <w:color w:val="000000"/>
          <w:kern w:val="0"/>
          <w:sz w:val="32"/>
          <w:szCs w:val="32"/>
        </w:rPr>
        <w:t>2025</w:t>
      </w:r>
      <w:r>
        <w:rPr>
          <w:rFonts w:hint="eastAsia" w:ascii="仿宋_GB2312" w:hAnsi="仿宋_GB2312" w:eastAsia="仿宋_GB2312" w:cs="仿宋_GB2312"/>
          <w:color w:val="000000"/>
          <w:kern w:val="0"/>
          <w:sz w:val="32"/>
          <w:szCs w:val="32"/>
        </w:rPr>
        <w:t>》等涉及本次绩效评价工作的政策文件，要求大家全面深入学习，确保评价工作开展前充分把握相关政策。</w:t>
      </w:r>
    </w:p>
    <w:p>
      <w:pPr>
        <w:keepNext w:val="0"/>
        <w:keepLines w:val="0"/>
        <w:pageBreakBefore w:val="0"/>
        <w:kinsoku/>
        <w:wordWrap/>
        <w:topLinePunct w:val="0"/>
        <w:autoSpaceDE/>
        <w:autoSpaceDN/>
        <w:bidi w:val="0"/>
        <w:adjustRightInd/>
        <w:snapToGrid/>
        <w:spacing w:beforeAutospacing="0" w:afterAutospacing="0" w:line="520" w:lineRule="exact"/>
        <w:ind w:left="0" w:leftChars="0"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（二）组织过程：合理调配人力，为按时、保质、保量完成本次绩效评价工作，根据各部门所管辖工作范围进行准确、周密的统计数字。加强各部门人员沟通协调，确保本次自评工作顺利完成。</w:t>
      </w:r>
    </w:p>
    <w:p>
      <w:pPr>
        <w:keepNext w:val="0"/>
        <w:keepLines w:val="0"/>
        <w:pageBreakBefore w:val="0"/>
        <w:kinsoku/>
        <w:wordWrap/>
        <w:topLinePunct w:val="0"/>
        <w:autoSpaceDE/>
        <w:autoSpaceDN/>
        <w:bidi w:val="0"/>
        <w:adjustRightInd/>
        <w:snapToGrid/>
        <w:spacing w:beforeAutospacing="0" w:afterAutospacing="0" w:line="52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（三）分析评价：此次绩效自评工作是第一次参与，因此参与评价提供数据的各部门人员都相当重视，但由于时间仓促，数据准备得不是够全面和精确。在以后的自评工作中将改进不足，做到更完善。</w:t>
      </w:r>
    </w:p>
    <w:p>
      <w:pPr>
        <w:keepNext w:val="0"/>
        <w:keepLines w:val="0"/>
        <w:pageBreakBefore w:val="0"/>
        <w:kinsoku/>
        <w:wordWrap/>
        <w:topLinePunct w:val="0"/>
        <w:autoSpaceDE/>
        <w:autoSpaceDN/>
        <w:bidi w:val="0"/>
        <w:adjustRightInd/>
        <w:snapToGrid/>
        <w:spacing w:beforeAutospacing="0" w:afterAutospacing="0" w:line="520" w:lineRule="exact"/>
        <w:ind w:left="0" w:leftChars="0" w:firstLine="542" w:firstLineChars="150"/>
        <w:textAlignment w:val="auto"/>
        <w:rPr>
          <w:rFonts w:hint="eastAsia" w:ascii="仿宋_GB2312" w:hAnsi="仿宋_GB2312" w:eastAsia="仿宋_GB2312" w:cs="仿宋_GB2312"/>
          <w:b/>
          <w:color w:val="000000"/>
          <w:kern w:val="0"/>
          <w:sz w:val="36"/>
          <w:szCs w:val="36"/>
        </w:rPr>
      </w:pPr>
      <w:r>
        <w:rPr>
          <w:rFonts w:hint="eastAsia" w:ascii="仿宋_GB2312" w:hAnsi="仿宋_GB2312" w:eastAsia="仿宋_GB2312" w:cs="仿宋_GB2312"/>
          <w:b/>
          <w:color w:val="000000"/>
          <w:kern w:val="0"/>
          <w:sz w:val="36"/>
          <w:szCs w:val="36"/>
        </w:rPr>
        <w:t>三、综合评价结论</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jc w:val="left"/>
        <w:textAlignment w:val="auto"/>
        <w:rPr>
          <w:rFonts w:hint="eastAsia"/>
        </w:rPr>
      </w:pPr>
      <w:r>
        <w:rPr>
          <w:rFonts w:hint="eastAsia" w:ascii="仿宋_GB2312" w:hAnsi="仿宋_GB2312" w:eastAsia="仿宋_GB2312" w:cs="仿宋_GB2312"/>
          <w:color w:val="000000"/>
          <w:kern w:val="0"/>
          <w:sz w:val="32"/>
          <w:szCs w:val="32"/>
          <w:lang w:eastAsia="zh-CN"/>
        </w:rPr>
        <w:t>　　　</w:t>
      </w:r>
      <w:r>
        <w:rPr>
          <w:rFonts w:hint="eastAsia" w:ascii="仿宋_GB2312" w:hAnsi="仿宋_GB2312" w:eastAsia="仿宋_GB2312" w:cs="仿宋_GB2312"/>
          <w:color w:val="000000"/>
          <w:kern w:val="0"/>
          <w:sz w:val="32"/>
          <w:szCs w:val="32"/>
        </w:rPr>
        <w:t>该项目</w:t>
      </w:r>
      <w:r>
        <w:rPr>
          <w:rFonts w:hint="eastAsia" w:eastAsia="仿宋_GB2312"/>
          <w:kern w:val="0"/>
          <w:sz w:val="32"/>
          <w:szCs w:val="32"/>
          <w:lang w:eastAsia="zh-CN"/>
        </w:rPr>
        <w:t>公共服务中心装修已完成和物流仓配中心建设已完成</w:t>
      </w:r>
      <w:r>
        <w:rPr>
          <w:rFonts w:hint="eastAsia" w:eastAsia="仿宋_GB2312"/>
          <w:kern w:val="0"/>
          <w:sz w:val="32"/>
          <w:szCs w:val="32"/>
          <w:lang w:val="en-US" w:eastAsia="zh-CN"/>
        </w:rPr>
        <w:t>，</w:t>
      </w:r>
      <w:r>
        <w:rPr>
          <w:rFonts w:hint="eastAsia" w:eastAsia="仿宋_GB2312"/>
          <w:kern w:val="0"/>
          <w:sz w:val="32"/>
          <w:szCs w:val="32"/>
          <w:lang w:eastAsia="zh-CN"/>
        </w:rPr>
        <w:t>项目已经竣工并投入使用。</w:t>
      </w:r>
      <w:r>
        <w:rPr>
          <w:rFonts w:hint="eastAsia" w:ascii="仿宋" w:hAnsi="仿宋" w:eastAsia="仿宋" w:cs="仿宋"/>
          <w:kern w:val="0"/>
          <w:sz w:val="32"/>
          <w:szCs w:val="32"/>
          <w:lang w:eastAsia="zh-CN"/>
        </w:rPr>
        <w:t>农村电子商务培训项目已完成公开招投标，由新东方培训机构中标</w:t>
      </w:r>
      <w:r>
        <w:rPr>
          <w:rFonts w:hint="eastAsia" w:ascii="仿宋" w:hAnsi="仿宋" w:eastAsia="仿宋" w:cs="仿宋"/>
          <w:kern w:val="0"/>
          <w:sz w:val="32"/>
          <w:szCs w:val="32"/>
          <w:lang w:val="en-US" w:eastAsia="zh-CN"/>
        </w:rPr>
        <w:t>。</w:t>
      </w:r>
      <w:r>
        <w:rPr>
          <w:rFonts w:hint="eastAsia" w:ascii="仿宋" w:hAnsi="仿宋" w:eastAsia="仿宋" w:cs="仿宋"/>
          <w:kern w:val="0"/>
          <w:sz w:val="32"/>
          <w:szCs w:val="32"/>
          <w:lang w:eastAsia="zh-CN"/>
        </w:rPr>
        <w:t>农村公共服务中心项目已经挂网招标。农村电子商务服务站建立并已验收上报</w:t>
      </w:r>
      <w:r>
        <w:rPr>
          <w:rFonts w:hint="eastAsia" w:ascii="仿宋" w:hAnsi="仿宋" w:eastAsia="仿宋" w:cs="仿宋"/>
          <w:kern w:val="0"/>
          <w:sz w:val="32"/>
          <w:szCs w:val="32"/>
          <w:lang w:val="en-US" w:eastAsia="zh-CN"/>
        </w:rPr>
        <w:t>60个，覆盖率达65.93%。</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723" w:firstLineChars="200"/>
        <w:jc w:val="left"/>
        <w:textAlignment w:val="auto"/>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四、绩效目标实现情况分析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3" w:firstLineChars="20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（一）项目资金情况分析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1.项目资金到位情况分析</w:t>
      </w:r>
    </w:p>
    <w:p>
      <w:pPr>
        <w:keepNext w:val="0"/>
        <w:keepLines w:val="0"/>
        <w:pageBreakBefore w:val="0"/>
        <w:widowControl w:val="0"/>
        <w:tabs>
          <w:tab w:val="left" w:pos="2368"/>
        </w:tabs>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宋体" w:hAnsi="宋体" w:eastAsia="宋体" w:cs="宋体"/>
          <w:kern w:val="2"/>
          <w:sz w:val="32"/>
          <w:szCs w:val="32"/>
          <w:lang w:val="en-US" w:eastAsia="zh-CN" w:bidi="ar-SA"/>
        </w:rPr>
      </w:pPr>
      <w:r>
        <w:rPr>
          <w:rFonts w:hint="eastAsia" w:ascii="仿宋" w:hAnsi="仿宋" w:eastAsia="仿宋" w:cs="仿宋"/>
          <w:sz w:val="32"/>
          <w:szCs w:val="32"/>
          <w:lang w:val="en-US" w:eastAsia="zh-CN"/>
        </w:rPr>
        <w:t>2017年8月10日，中央财政服务业发展专项资金1500万元拨付到我县财政局（依据福建省财政厅、福建省商务厅《关于下达2017年中央财政服务业发展专项资金的通知》（闽财外指[2017]7号））。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2.项目资金执行情况分析</w:t>
      </w:r>
    </w:p>
    <w:p>
      <w:pPr>
        <w:keepNext w:val="0"/>
        <w:keepLines w:val="0"/>
        <w:pageBreakBefore w:val="0"/>
        <w:widowControl w:val="0"/>
        <w:tabs>
          <w:tab w:val="left" w:pos="1213"/>
        </w:tabs>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我局严格按照</w:t>
      </w:r>
      <w:r>
        <w:rPr>
          <w:rFonts w:hint="eastAsia" w:ascii="仿宋_GB2312" w:hAnsi="仿宋" w:eastAsia="仿宋_GB2312" w:cs="仿宋"/>
          <w:sz w:val="32"/>
          <w:szCs w:val="32"/>
        </w:rPr>
        <w:t>财政部办公厅、商务部办公厅、国务院扶贫办综合司《关于开展</w:t>
      </w:r>
      <w:r>
        <w:rPr>
          <w:rFonts w:ascii="仿宋_GB2312" w:hAnsi="仿宋" w:eastAsia="仿宋_GB2312" w:cs="仿宋"/>
          <w:sz w:val="32"/>
          <w:szCs w:val="32"/>
        </w:rPr>
        <w:t>2017</w:t>
      </w:r>
      <w:r>
        <w:rPr>
          <w:rFonts w:hint="eastAsia" w:ascii="仿宋_GB2312" w:hAnsi="仿宋" w:eastAsia="仿宋_GB2312" w:cs="仿宋"/>
          <w:sz w:val="32"/>
          <w:szCs w:val="32"/>
        </w:rPr>
        <w:t>年电子商务进农村综合示范工作的通知》（财办建</w:t>
      </w:r>
      <w:r>
        <w:rPr>
          <w:rFonts w:hint="eastAsia" w:ascii="仿宋_GB2312" w:hAnsi="仿宋" w:eastAsia="仿宋_GB2312" w:cs="仿宋"/>
          <w:color w:val="000000"/>
          <w:sz w:val="32"/>
          <w:szCs w:val="32"/>
          <w:shd w:val="clear" w:color="auto" w:fill="FFFFFF"/>
        </w:rPr>
        <w:t>〔</w:t>
      </w:r>
      <w:r>
        <w:rPr>
          <w:rFonts w:ascii="仿宋_GB2312" w:hAnsi="仿宋" w:eastAsia="仿宋_GB2312" w:cs="仿宋"/>
          <w:color w:val="000000"/>
          <w:sz w:val="32"/>
          <w:szCs w:val="32"/>
          <w:shd w:val="clear" w:color="auto" w:fill="FFFFFF"/>
        </w:rPr>
        <w:t>2017</w:t>
      </w:r>
      <w:r>
        <w:rPr>
          <w:rFonts w:hint="eastAsia" w:ascii="仿宋_GB2312" w:hAnsi="仿宋" w:eastAsia="仿宋_GB2312" w:cs="仿宋"/>
          <w:color w:val="000000"/>
          <w:sz w:val="32"/>
          <w:szCs w:val="32"/>
          <w:shd w:val="clear" w:color="auto" w:fill="FFFFFF"/>
        </w:rPr>
        <w:t>〕</w:t>
      </w:r>
      <w:r>
        <w:rPr>
          <w:rFonts w:ascii="仿宋_GB2312" w:hAnsi="仿宋" w:eastAsia="仿宋_GB2312" w:cs="仿宋"/>
          <w:color w:val="000000"/>
          <w:sz w:val="32"/>
          <w:szCs w:val="32"/>
          <w:shd w:val="clear" w:color="auto" w:fill="FFFFFF"/>
        </w:rPr>
        <w:t>30</w:t>
      </w:r>
      <w:r>
        <w:rPr>
          <w:rFonts w:hint="eastAsia" w:ascii="仿宋_GB2312" w:hAnsi="仿宋" w:eastAsia="仿宋_GB2312" w:cs="仿宋"/>
          <w:color w:val="000000"/>
          <w:sz w:val="32"/>
          <w:szCs w:val="32"/>
          <w:shd w:val="clear" w:color="auto" w:fill="FFFFFF"/>
          <w:lang w:eastAsia="zh-CN"/>
        </w:rPr>
        <w:t>号</w:t>
      </w:r>
      <w:r>
        <w:rPr>
          <w:rFonts w:hint="eastAsia" w:ascii="仿宋_GB2312" w:hAnsi="仿宋" w:eastAsia="仿宋_GB2312" w:cs="仿宋"/>
          <w:sz w:val="32"/>
          <w:szCs w:val="32"/>
        </w:rPr>
        <w:t>）和福建</w:t>
      </w:r>
      <w:r>
        <w:rPr>
          <w:rFonts w:hint="eastAsia" w:ascii="仿宋_GB2312" w:eastAsia="仿宋_GB2312"/>
          <w:sz w:val="32"/>
          <w:szCs w:val="32"/>
        </w:rPr>
        <w:t>省《关于推动农村电子商务发展行动方案的通知》（闽政办〔</w:t>
      </w:r>
      <w:r>
        <w:rPr>
          <w:rFonts w:ascii="仿宋_GB2312" w:eastAsia="仿宋_GB2312"/>
          <w:sz w:val="32"/>
          <w:szCs w:val="32"/>
        </w:rPr>
        <w:t>2015</w:t>
      </w:r>
      <w:r>
        <w:rPr>
          <w:rFonts w:hint="eastAsia" w:ascii="仿宋_GB2312" w:eastAsia="仿宋_GB2312"/>
          <w:sz w:val="32"/>
          <w:szCs w:val="32"/>
        </w:rPr>
        <w:t>〕</w:t>
      </w:r>
      <w:r>
        <w:rPr>
          <w:rFonts w:ascii="仿宋_GB2312" w:eastAsia="仿宋_GB2312"/>
          <w:sz w:val="32"/>
          <w:szCs w:val="32"/>
        </w:rPr>
        <w:t>110</w:t>
      </w:r>
      <w:r>
        <w:rPr>
          <w:rFonts w:hint="eastAsia" w:ascii="仿宋_GB2312" w:eastAsia="仿宋_GB2312"/>
          <w:sz w:val="32"/>
          <w:szCs w:val="32"/>
        </w:rPr>
        <w:t>号）、《关于进一步做好电子商务进农村综合示范工作的通知》（闽商务电商〔</w:t>
      </w:r>
      <w:r>
        <w:rPr>
          <w:rFonts w:ascii="仿宋_GB2312" w:eastAsia="仿宋_GB2312"/>
          <w:sz w:val="32"/>
          <w:szCs w:val="32"/>
        </w:rPr>
        <w:t>2016</w:t>
      </w:r>
      <w:r>
        <w:rPr>
          <w:rFonts w:hint="eastAsia" w:ascii="仿宋_GB2312" w:eastAsia="仿宋_GB2312"/>
          <w:sz w:val="32"/>
          <w:szCs w:val="32"/>
        </w:rPr>
        <w:t>〕</w:t>
      </w:r>
      <w:r>
        <w:rPr>
          <w:rFonts w:ascii="仿宋_GB2312" w:eastAsia="仿宋_GB2312"/>
          <w:sz w:val="32"/>
          <w:szCs w:val="32"/>
        </w:rPr>
        <w:t>8</w:t>
      </w:r>
      <w:r>
        <w:rPr>
          <w:rFonts w:hint="eastAsia" w:ascii="仿宋_GB2312" w:eastAsia="仿宋_GB2312"/>
          <w:sz w:val="32"/>
          <w:szCs w:val="32"/>
        </w:rPr>
        <w:t>号）、《电子商务进农村综合示范中央财政资金使用指引》（闽商务电商〔</w:t>
      </w:r>
      <w:r>
        <w:rPr>
          <w:rFonts w:ascii="仿宋_GB2312" w:eastAsia="仿宋_GB2312"/>
          <w:sz w:val="32"/>
          <w:szCs w:val="32"/>
        </w:rPr>
        <w:t>2016</w:t>
      </w:r>
      <w:r>
        <w:rPr>
          <w:rFonts w:hint="eastAsia" w:ascii="仿宋_GB2312" w:eastAsia="仿宋_GB2312"/>
          <w:sz w:val="32"/>
          <w:szCs w:val="32"/>
        </w:rPr>
        <w:t>〕</w:t>
      </w:r>
      <w:r>
        <w:rPr>
          <w:rFonts w:ascii="仿宋_GB2312" w:eastAsia="仿宋_GB2312"/>
          <w:sz w:val="32"/>
          <w:szCs w:val="32"/>
        </w:rPr>
        <w:t>10</w:t>
      </w:r>
      <w:r>
        <w:rPr>
          <w:rFonts w:hint="eastAsia" w:ascii="仿宋_GB2312" w:eastAsia="仿宋_GB2312"/>
          <w:sz w:val="32"/>
          <w:szCs w:val="32"/>
        </w:rPr>
        <w:t>号）、《福建省商务厅关于做好</w:t>
      </w:r>
      <w:r>
        <w:rPr>
          <w:rFonts w:ascii="仿宋_GB2312" w:eastAsia="仿宋_GB2312"/>
          <w:sz w:val="32"/>
          <w:szCs w:val="32"/>
        </w:rPr>
        <w:t>2017</w:t>
      </w:r>
      <w:r>
        <w:rPr>
          <w:rFonts w:hint="eastAsia" w:ascii="仿宋_GB2312" w:eastAsia="仿宋_GB2312"/>
          <w:sz w:val="32"/>
          <w:szCs w:val="32"/>
        </w:rPr>
        <w:t>年电子商务进农村综合示范工作的通知》（闽商务电商〔</w:t>
      </w:r>
      <w:r>
        <w:rPr>
          <w:rFonts w:ascii="仿宋_GB2312" w:eastAsia="仿宋_GB2312"/>
          <w:sz w:val="32"/>
          <w:szCs w:val="32"/>
        </w:rPr>
        <w:t>2017</w:t>
      </w:r>
      <w:r>
        <w:rPr>
          <w:rFonts w:hint="eastAsia" w:ascii="仿宋_GB2312" w:eastAsia="仿宋_GB2312"/>
          <w:sz w:val="32"/>
          <w:szCs w:val="32"/>
        </w:rPr>
        <w:t>〕</w:t>
      </w:r>
      <w:r>
        <w:rPr>
          <w:rFonts w:ascii="仿宋_GB2312" w:eastAsia="仿宋_GB2312"/>
          <w:sz w:val="32"/>
          <w:szCs w:val="32"/>
        </w:rPr>
        <w:t>7</w:t>
      </w:r>
      <w:r>
        <w:rPr>
          <w:rFonts w:hint="eastAsia" w:ascii="仿宋_GB2312" w:eastAsia="仿宋_GB2312"/>
          <w:sz w:val="32"/>
          <w:szCs w:val="32"/>
        </w:rPr>
        <w:t>号）</w:t>
      </w:r>
      <w:r>
        <w:rPr>
          <w:rFonts w:hint="eastAsia" w:ascii="仿宋_GB2312" w:eastAsia="仿宋_GB2312"/>
          <w:sz w:val="32"/>
          <w:szCs w:val="32"/>
          <w:lang w:eastAsia="zh-CN"/>
        </w:rPr>
        <w:t>文件</w:t>
      </w:r>
      <w:r>
        <w:rPr>
          <w:rFonts w:hint="eastAsia" w:ascii="仿宋" w:hAnsi="仿宋" w:eastAsia="仿宋" w:cs="仿宋"/>
          <w:sz w:val="32"/>
          <w:szCs w:val="32"/>
        </w:rPr>
        <w:t>要求，研究制定了《连城县国家电子商务进农村综合示范工作实施方案》</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由郑翔副县长主持召开县政府专题会议，请有关部门（县财政局、商务局、农业局、人社局、市场监督管理局、交通运输局、审计局、统计局、扶贫办、供销社、团县委、妇联、福建省连城农民创业园管委会、县职业中专、工贸公司、邮政公司、电子商务协会、地瓜干协会、万花筒公司等）领导参加</w:t>
      </w:r>
      <w:r>
        <w:rPr>
          <w:rFonts w:hint="eastAsia" w:ascii="仿宋" w:hAnsi="仿宋" w:eastAsia="仿宋" w:cs="仿宋"/>
          <w:sz w:val="32"/>
          <w:szCs w:val="32"/>
          <w:lang w:eastAsia="zh-CN"/>
        </w:rPr>
        <w:t>修改，</w:t>
      </w:r>
      <w:r>
        <w:rPr>
          <w:rFonts w:hint="eastAsia" w:eastAsia="仿宋_GB2312"/>
          <w:kern w:val="0"/>
          <w:sz w:val="32"/>
          <w:szCs w:val="32"/>
          <w:lang w:eastAsia="zh-CN"/>
        </w:rPr>
        <w:t>于</w:t>
      </w:r>
      <w:r>
        <w:rPr>
          <w:rFonts w:hint="eastAsia" w:eastAsia="仿宋_GB2312"/>
          <w:kern w:val="0"/>
          <w:sz w:val="32"/>
          <w:szCs w:val="32"/>
          <w:lang w:val="en-US" w:eastAsia="zh-CN"/>
        </w:rPr>
        <w:t>2018年1月16日经</w:t>
      </w:r>
      <w:r>
        <w:rPr>
          <w:rFonts w:eastAsia="仿宋_GB2312"/>
          <w:kern w:val="0"/>
          <w:sz w:val="32"/>
          <w:szCs w:val="32"/>
        </w:rPr>
        <w:t>县政府常务</w:t>
      </w:r>
      <w:r>
        <w:rPr>
          <w:rFonts w:hint="eastAsia" w:eastAsia="仿宋_GB2312"/>
          <w:kern w:val="0"/>
          <w:sz w:val="32"/>
          <w:szCs w:val="32"/>
          <w:lang w:eastAsia="zh-CN"/>
        </w:rPr>
        <w:t>会议</w:t>
      </w:r>
      <w:r>
        <w:rPr>
          <w:rFonts w:eastAsia="仿宋_GB2312"/>
          <w:kern w:val="0"/>
          <w:sz w:val="32"/>
          <w:szCs w:val="32"/>
        </w:rPr>
        <w:t>研究</w:t>
      </w:r>
      <w:r>
        <w:rPr>
          <w:rFonts w:hint="eastAsia" w:eastAsia="仿宋_GB2312"/>
          <w:kern w:val="0"/>
          <w:sz w:val="32"/>
          <w:szCs w:val="32"/>
          <w:lang w:eastAsia="zh-CN"/>
        </w:rPr>
        <w:t>通过，</w:t>
      </w:r>
      <w:r>
        <w:rPr>
          <w:rFonts w:hint="eastAsia" w:eastAsia="仿宋_GB2312"/>
          <w:sz w:val="32"/>
          <w:szCs w:val="32"/>
        </w:rPr>
        <w:t>1</w:t>
      </w:r>
      <w:r>
        <w:rPr>
          <w:rFonts w:eastAsia="仿宋_GB2312"/>
          <w:sz w:val="32"/>
          <w:szCs w:val="32"/>
        </w:rPr>
        <w:t>月</w:t>
      </w:r>
      <w:r>
        <w:rPr>
          <w:rFonts w:hint="eastAsia" w:eastAsia="仿宋_GB2312"/>
          <w:sz w:val="32"/>
          <w:szCs w:val="32"/>
        </w:rPr>
        <w:t>25</w:t>
      </w:r>
      <w:r>
        <w:rPr>
          <w:rFonts w:eastAsia="仿宋_GB2312"/>
          <w:sz w:val="32"/>
          <w:szCs w:val="32"/>
        </w:rPr>
        <w:t>日</w:t>
      </w:r>
      <w:r>
        <w:rPr>
          <w:rFonts w:hint="eastAsia" w:eastAsia="仿宋_GB2312"/>
          <w:kern w:val="0"/>
          <w:sz w:val="32"/>
          <w:szCs w:val="32"/>
          <w:lang w:eastAsia="zh-CN"/>
        </w:rPr>
        <w:t>已印发实施</w:t>
      </w:r>
      <w:r>
        <w:rPr>
          <w:rFonts w:eastAsia="仿宋_GB2312"/>
          <w:kern w:val="0"/>
          <w:sz w:val="32"/>
          <w:szCs w:val="32"/>
        </w:rPr>
        <w:t>。</w:t>
      </w:r>
      <w:r>
        <w:rPr>
          <w:rFonts w:hint="eastAsia" w:eastAsia="仿宋_GB2312"/>
          <w:kern w:val="0"/>
          <w:sz w:val="32"/>
          <w:szCs w:val="32"/>
          <w:lang w:eastAsia="zh-CN"/>
        </w:rPr>
        <w:t>现方案正在落实中，截至</w:t>
      </w:r>
      <w:bookmarkStart w:id="0" w:name="_GoBack"/>
      <w:bookmarkEnd w:id="0"/>
      <w:r>
        <w:rPr>
          <w:rFonts w:hint="eastAsia" w:eastAsia="仿宋_GB2312"/>
          <w:kern w:val="0"/>
          <w:sz w:val="32"/>
          <w:szCs w:val="32"/>
          <w:lang w:eastAsia="zh-CN"/>
        </w:rPr>
        <w:t>目前，农村电子商务培训项目招投标完成，正在与中标公司签订合同的拟定培训时间安排，农村公共服务中心项目已挂网招标，统计体系建设项目招标方案也在拟定中，公共服务中心和物流仓配中心建设补助项目已经竣工，工贸公司正在申报中，拟按要求进行拨付，物流体系建设项目，由供销社牵头正在整合快递企业过程中，由农创园管委会牵头的营销体系和供应链体系建设项目也在细化和实施中，由电商协会牵头的仓配一体化建设项目已入驻园区正在积极推进中。</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3.项目资金管理情况分析</w:t>
      </w:r>
    </w:p>
    <w:p>
      <w:pPr>
        <w:keepNext w:val="0"/>
        <w:keepLines w:val="0"/>
        <w:pageBreakBefore w:val="0"/>
        <w:widowControl w:val="0"/>
        <w:tabs>
          <w:tab w:val="left" w:pos="1213"/>
        </w:tabs>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我县严格按照专项资金使用方向和要求，制定资金使用管理办法，专款专用。制定全国电子商务进农村综合示范工作方案，认真安排好中央财政资金支持的侧重点和支持比例，重点支持以下方向：</w:t>
      </w:r>
      <w:r>
        <w:rPr>
          <w:rFonts w:hint="eastAsia" w:ascii="仿宋" w:hAnsi="仿宋" w:eastAsia="仿宋" w:cs="仿宋"/>
          <w:sz w:val="32"/>
          <w:szCs w:val="32"/>
          <w:lang w:val="en-US" w:eastAsia="zh-CN"/>
        </w:rPr>
        <w:t>1.</w:t>
      </w:r>
      <w:r>
        <w:rPr>
          <w:rFonts w:hint="eastAsia" w:ascii="仿宋" w:hAnsi="仿宋" w:eastAsia="仿宋" w:cs="仿宋"/>
          <w:sz w:val="32"/>
          <w:szCs w:val="32"/>
        </w:rPr>
        <w:t>聚焦农产品上行；</w:t>
      </w:r>
      <w:r>
        <w:rPr>
          <w:rFonts w:hint="eastAsia" w:ascii="仿宋" w:hAnsi="仿宋" w:eastAsia="仿宋" w:cs="仿宋"/>
          <w:sz w:val="32"/>
          <w:szCs w:val="32"/>
          <w:lang w:val="en-US" w:eastAsia="zh-CN"/>
        </w:rPr>
        <w:t>2.</w:t>
      </w:r>
      <w:r>
        <w:rPr>
          <w:rFonts w:hint="eastAsia" w:ascii="仿宋" w:hAnsi="仿宋" w:eastAsia="仿宋" w:cs="仿宋"/>
          <w:sz w:val="32"/>
          <w:szCs w:val="32"/>
        </w:rPr>
        <w:t>支持县城电子商务公共服务中心和乡村电子商务服务站点的建设改造；</w:t>
      </w:r>
      <w:r>
        <w:rPr>
          <w:rFonts w:hint="eastAsia" w:ascii="仿宋" w:hAnsi="仿宋" w:eastAsia="仿宋" w:cs="仿宋"/>
          <w:sz w:val="32"/>
          <w:szCs w:val="32"/>
          <w:lang w:val="en-US" w:eastAsia="zh-CN"/>
        </w:rPr>
        <w:t>3.</w:t>
      </w:r>
      <w:r>
        <w:rPr>
          <w:rFonts w:hint="eastAsia" w:ascii="仿宋" w:hAnsi="仿宋" w:eastAsia="仿宋" w:cs="仿宋"/>
          <w:sz w:val="32"/>
          <w:szCs w:val="32"/>
        </w:rPr>
        <w:t>支持农村电子商务培训。并严格执行“中央财政资金不得用于网络交易平台、楼堂馆所建设、工作经费及购买流量支出，有关支持项目应开放共享”的规定。在推进工作中，强化过程管理，及时将综合示范工作方案、项目内容、资金安排等</w:t>
      </w:r>
      <w:r>
        <w:rPr>
          <w:rFonts w:hint="eastAsia" w:ascii="仿宋" w:hAnsi="仿宋" w:eastAsia="仿宋" w:cs="仿宋"/>
          <w:sz w:val="32"/>
          <w:szCs w:val="32"/>
          <w:lang w:eastAsia="zh-CN"/>
        </w:rPr>
        <w:t>进行</w:t>
      </w:r>
      <w:r>
        <w:rPr>
          <w:rFonts w:hint="eastAsia" w:ascii="仿宋" w:hAnsi="仿宋" w:eastAsia="仿宋" w:cs="仿宋"/>
          <w:sz w:val="32"/>
          <w:szCs w:val="32"/>
        </w:rPr>
        <w:t>公开</w:t>
      </w:r>
      <w:r>
        <w:rPr>
          <w:rFonts w:hint="eastAsia" w:ascii="仿宋" w:hAnsi="仿宋" w:eastAsia="仿宋" w:cs="仿宋"/>
          <w:sz w:val="32"/>
          <w:szCs w:val="32"/>
          <w:lang w:eastAsia="zh-CN"/>
        </w:rPr>
        <w:t>公示</w:t>
      </w:r>
      <w:r>
        <w:rPr>
          <w:rFonts w:hint="eastAsia" w:ascii="仿宋" w:hAnsi="仿宋" w:eastAsia="仿宋" w:cs="仿宋"/>
          <w:sz w:val="32"/>
          <w:szCs w:val="32"/>
        </w:rPr>
        <w:t>，同时报送相关信息。</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3" w:firstLineChars="20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（二）项目绩效指标完成情况分析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1.产出指标完成情况分析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（1）项目完成数量。</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2017年度完成千人以上行政村建立并已验收上报的电商服务站40个，覆盖率达43.95%，2018年已验收上报的电商服务站20个，覆盖率达65.93%。</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（2）项目完成质量。</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2017年度，完成电商培训1466人次。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（3）项目实施进度。</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jc w:val="left"/>
        <w:textAlignment w:val="auto"/>
        <w:rPr>
          <w:rFonts w:hint="eastAsia" w:ascii="仿宋" w:hAnsi="仿宋" w:eastAsia="仿宋" w:cs="仿宋"/>
          <w:sz w:val="32"/>
          <w:szCs w:val="32"/>
          <w:lang w:val="en-US" w:eastAsia="zh-CN"/>
        </w:rPr>
      </w:pPr>
      <w:r>
        <w:rPr>
          <w:rFonts w:hint="eastAsia" w:eastAsia="仿宋_GB2312"/>
          <w:kern w:val="0"/>
          <w:sz w:val="32"/>
          <w:szCs w:val="32"/>
          <w:lang w:eastAsia="zh-CN"/>
        </w:rPr>
        <w:t>　　公共服务中心装修已完成投资</w:t>
      </w:r>
      <w:r>
        <w:rPr>
          <w:rFonts w:hint="eastAsia" w:eastAsia="仿宋_GB2312"/>
          <w:kern w:val="0"/>
          <w:sz w:val="32"/>
          <w:szCs w:val="32"/>
          <w:lang w:val="en-US" w:eastAsia="zh-CN"/>
        </w:rPr>
        <w:t>250万元</w:t>
      </w:r>
      <w:r>
        <w:rPr>
          <w:rFonts w:hint="eastAsia" w:eastAsia="仿宋_GB2312"/>
          <w:kern w:val="0"/>
          <w:sz w:val="32"/>
          <w:szCs w:val="32"/>
          <w:lang w:eastAsia="zh-CN"/>
        </w:rPr>
        <w:t>和物流仓配中心建设已完成投资</w:t>
      </w:r>
      <w:r>
        <w:rPr>
          <w:rFonts w:hint="eastAsia" w:eastAsia="仿宋_GB2312"/>
          <w:kern w:val="0"/>
          <w:sz w:val="32"/>
          <w:szCs w:val="32"/>
          <w:lang w:val="en-US" w:eastAsia="zh-CN"/>
        </w:rPr>
        <w:t>1000万元，</w:t>
      </w:r>
      <w:r>
        <w:rPr>
          <w:rFonts w:hint="eastAsia" w:eastAsia="仿宋_GB2312"/>
          <w:kern w:val="0"/>
          <w:sz w:val="32"/>
          <w:szCs w:val="32"/>
          <w:lang w:eastAsia="zh-CN"/>
        </w:rPr>
        <w:t>项目已经竣工，责任单位工贸公司正在申报中，拟按要求进行拨付。</w:t>
      </w:r>
      <w:r>
        <w:rPr>
          <w:rFonts w:hint="eastAsia" w:ascii="仿宋" w:hAnsi="仿宋" w:eastAsia="仿宋" w:cs="仿宋"/>
          <w:kern w:val="0"/>
          <w:sz w:val="32"/>
          <w:szCs w:val="32"/>
          <w:lang w:eastAsia="zh-CN"/>
        </w:rPr>
        <w:t>农村电子商务培训项目已完成公开招投标，中标价为</w:t>
      </w:r>
      <w:r>
        <w:rPr>
          <w:rFonts w:hint="eastAsia" w:ascii="仿宋" w:hAnsi="仿宋" w:eastAsia="仿宋" w:cs="仿宋"/>
          <w:kern w:val="0"/>
          <w:sz w:val="32"/>
          <w:szCs w:val="32"/>
          <w:lang w:val="en-US" w:eastAsia="zh-CN"/>
        </w:rPr>
        <w:t>55万元。</w:t>
      </w:r>
      <w:r>
        <w:rPr>
          <w:rFonts w:hint="eastAsia" w:ascii="仿宋" w:hAnsi="仿宋" w:eastAsia="仿宋" w:cs="仿宋"/>
          <w:kern w:val="0"/>
          <w:sz w:val="32"/>
          <w:szCs w:val="32"/>
          <w:lang w:eastAsia="zh-CN"/>
        </w:rPr>
        <w:t>农村公共服务中心项目已经挂网招标。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（4）项目成本节约情况。</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kern w:val="0"/>
          <w:sz w:val="32"/>
          <w:szCs w:val="32"/>
          <w:lang w:eastAsia="zh-CN"/>
        </w:rPr>
        <w:t>公共服务中心装修、物流仓配中心建设补助项目、农村电子商务培训项目和农村公共服务中心项目的实际支出均未超出预算。其中农村电子商务培训项目预算</w:t>
      </w:r>
      <w:r>
        <w:rPr>
          <w:rFonts w:hint="eastAsia" w:ascii="仿宋" w:hAnsi="仿宋" w:eastAsia="仿宋" w:cs="仿宋"/>
          <w:kern w:val="0"/>
          <w:sz w:val="32"/>
          <w:szCs w:val="32"/>
          <w:lang w:val="en-US" w:eastAsia="zh-CN"/>
        </w:rPr>
        <w:t>120万元，中标价55万元，项目成本节约65万元。</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2.效益指标完成情况分析。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（1）项目实施的经济效益分析。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通过示范县项目的建设，我县网络零售额2017年度达80759万元，同比增长87%。</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（2）项目实施的社会效益分析。</w:t>
      </w:r>
    </w:p>
    <w:p>
      <w:pPr>
        <w:keepNext w:val="0"/>
        <w:keepLines w:val="0"/>
        <w:pageBreakBefore w:val="0"/>
        <w:widowControl w:val="0"/>
        <w:numPr>
          <w:ilvl w:val="0"/>
          <w:numId w:val="0"/>
        </w:numPr>
        <w:tabs>
          <w:tab w:val="left" w:pos="1213"/>
        </w:tabs>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outlineLvl w:val="9"/>
        <w:rPr>
          <w:rFonts w:hint="eastAsia" w:ascii="仿宋" w:hAnsi="仿宋" w:eastAsia="仿宋" w:cs="仿宋"/>
          <w:sz w:val="32"/>
          <w:szCs w:val="32"/>
          <w:u w:val="none"/>
          <w:lang w:val="en-US" w:eastAsia="zh-CN"/>
        </w:rPr>
      </w:pPr>
      <w:r>
        <w:rPr>
          <w:rFonts w:hint="eastAsia" w:ascii="仿宋" w:hAnsi="仿宋" w:eastAsia="仿宋" w:cs="仿宋"/>
          <w:sz w:val="32"/>
          <w:szCs w:val="32"/>
          <w:lang w:val="en-US" w:eastAsia="zh-CN"/>
        </w:rPr>
        <w:t>2017年度根据</w:t>
      </w:r>
      <w:r>
        <w:rPr>
          <w:rFonts w:hint="eastAsia" w:ascii="仿宋" w:hAnsi="仿宋" w:eastAsia="仿宋" w:cs="仿宋"/>
          <w:sz w:val="32"/>
          <w:szCs w:val="32"/>
          <w:u w:val="none"/>
          <w:lang w:eastAsia="zh-CN"/>
        </w:rPr>
        <w:t>中共龙岩市委办公室 龙岩市人民办公室《关于印发龙岩市脱贫攻坚若干政策措施的通知》（岩委办〔2016〕85号）和龙岩市商务局</w:t>
      </w:r>
      <w:r>
        <w:rPr>
          <w:rFonts w:hint="eastAsia" w:ascii="仿宋" w:hAnsi="仿宋" w:eastAsia="仿宋" w:cs="仿宋"/>
          <w:sz w:val="32"/>
          <w:szCs w:val="32"/>
          <w:u w:val="none"/>
          <w:lang w:val="en-US" w:eastAsia="zh-CN"/>
        </w:rPr>
        <w:t>2017年1月16日</w:t>
      </w:r>
      <w:r>
        <w:rPr>
          <w:rFonts w:hint="eastAsia" w:ascii="仿宋" w:hAnsi="仿宋" w:eastAsia="仿宋" w:cs="仿宋"/>
          <w:sz w:val="32"/>
          <w:szCs w:val="32"/>
          <w:u w:val="none"/>
          <w:lang w:eastAsia="zh-CN"/>
        </w:rPr>
        <w:t>《关于做好2016年度村级电子商务扶贫服务站评定工作的通知》（岩商务业〔2017〕6号）文件精神。我县建立电子商务扶贫服务站</w:t>
      </w:r>
      <w:r>
        <w:rPr>
          <w:rFonts w:hint="eastAsia" w:ascii="仿宋" w:hAnsi="仿宋" w:eastAsia="仿宋" w:cs="仿宋"/>
          <w:sz w:val="32"/>
          <w:szCs w:val="32"/>
          <w:u w:val="none"/>
          <w:lang w:val="en-US" w:eastAsia="zh-CN"/>
        </w:rPr>
        <w:t>11个，通过电子商务扶贫服务站，全年累计服务建档立卡贫困户2532人次，帮助建档立卡贫困人口销售总金额353280元，人均年增收6000元。对建档立卡贫困人口进行基础性培训408人次，带动档立卡贫困人口就业人数128人。</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（3）项目实施的生态效益分析。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农村电子商务产业发展对生态环境没有造成污染。</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（4）项目实施的可持续影响分析。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示范县项目的后续管理资金、机构运行良好。</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3.满意度指标完成情况分析。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服务对象满意度调查100%满意。</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723" w:firstLineChars="200"/>
        <w:jc w:val="left"/>
        <w:textAlignment w:val="auto"/>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五、绩效目标未完成原因和下一步改进措施</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2017年度示范县电商培训人数年度指标值2000人次以上，全年完成值1466人次，未完成原因是培训项目没有完成招投标。今年的改进措施，培训项目完成招投标，合同要求培训3320人次以上，现已有培训机构中标，正在与培训机构签订合同和确定培训时间的安排。</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20" w:lineRule="exact"/>
        <w:ind w:left="0" w:leftChars="0" w:right="0" w:rightChars="0" w:firstLine="723" w:firstLineChars="200"/>
        <w:jc w:val="left"/>
        <w:textAlignment w:val="auto"/>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绩效自评结果拟应用和公开情况</w:t>
      </w:r>
    </w:p>
    <w:p>
      <w:pPr>
        <w:keepNext w:val="0"/>
        <w:keepLines w:val="0"/>
        <w:pageBreakBefore w:val="0"/>
        <w:kinsoku/>
        <w:wordWrap/>
        <w:topLinePunct w:val="0"/>
        <w:autoSpaceDE/>
        <w:autoSpaceDN/>
        <w:bidi w:val="0"/>
        <w:adjustRightInd/>
        <w:snapToGrid/>
        <w:spacing w:beforeAutospacing="0" w:afterAutospacing="0" w:line="52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项目绩效评价遵循的原则有：经济性、效率性、有效性原则；定量分析和定性分析相结合，以定量分析为主、定性分析为辅的原则；以及真实性、科学性、规范性原则。</w:t>
      </w:r>
    </w:p>
    <w:p>
      <w:pPr>
        <w:keepNext w:val="0"/>
        <w:keepLines w:val="0"/>
        <w:pageBreakBefore w:val="0"/>
        <w:kinsoku/>
        <w:wordWrap/>
        <w:topLinePunct w:val="0"/>
        <w:autoSpaceDE/>
        <w:autoSpaceDN/>
        <w:bidi w:val="0"/>
        <w:adjustRightInd/>
        <w:snapToGrid/>
        <w:spacing w:beforeAutospacing="0" w:afterAutospacing="0" w:line="520" w:lineRule="exact"/>
        <w:ind w:left="0" w:leftChars="0" w:firstLine="640" w:firstLineChars="200"/>
        <w:textAlignment w:val="auto"/>
        <w:rPr>
          <w:rFonts w:hint="eastAsia" w:ascii="宋体" w:hAnsi="宋体" w:eastAsia="宋体" w:cs="宋体"/>
          <w:b/>
          <w:bCs/>
          <w:sz w:val="36"/>
          <w:szCs w:val="36"/>
          <w:lang w:val="en-US" w:eastAsia="zh-CN"/>
        </w:rPr>
      </w:pPr>
      <w:r>
        <w:rPr>
          <w:rFonts w:hint="eastAsia" w:ascii="仿宋_GB2312" w:hAnsi="仿宋_GB2312" w:eastAsia="仿宋_GB2312" w:cs="仿宋_GB2312"/>
          <w:color w:val="000000"/>
          <w:kern w:val="0"/>
          <w:sz w:val="32"/>
          <w:szCs w:val="32"/>
        </w:rPr>
        <w:t>为做好本次项目绩效评价工作，加强对绩效评价工作的组织领导，确保各项工作的顺利开展，专门成立了单位主要领导任组长的绩效评价工作领导小组，统筹指导协调绩效评价工作。同时根据绩效评价工作的具体要求，又认真核查了资金使用、项目建设进展等有关情况，并实地抽查了部分项目实施情况，采集了相关数据，同时根据项目实施情况书面材料进行评价分析，形成自评价结论。</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723" w:firstLineChars="200"/>
        <w:jc w:val="left"/>
        <w:textAlignment w:val="auto"/>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七、绩效自评工作的经验、问题和建议</w:t>
      </w:r>
    </w:p>
    <w:p>
      <w:pPr>
        <w:keepNext w:val="0"/>
        <w:keepLines w:val="0"/>
        <w:pageBreakBefore w:val="0"/>
        <w:kinsoku/>
        <w:wordWrap/>
        <w:topLinePunct w:val="0"/>
        <w:autoSpaceDE/>
        <w:autoSpaceDN/>
        <w:bidi w:val="0"/>
        <w:adjustRightInd/>
        <w:snapToGrid/>
        <w:spacing w:beforeAutospacing="0" w:afterAutospacing="0" w:line="520" w:lineRule="exact"/>
        <w:ind w:left="0" w:leftChars="0"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此次绩效自评工作是第一次参与，因此参与评价提供数据的各部门人员都相当重视，但由于时间仓促，数据准备得不是够全面和精确。在以后的自评工作中将改进不足，做到更完善。</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723" w:firstLineChars="200"/>
        <w:jc w:val="left"/>
        <w:textAlignment w:val="auto"/>
        <w:rPr>
          <w:rFonts w:hint="eastAsia" w:ascii="宋体" w:hAnsi="宋体" w:eastAsia="宋体" w:cs="宋体"/>
          <w:b/>
          <w:bCs/>
          <w:sz w:val="36"/>
          <w:szCs w:val="36"/>
          <w:lang w:val="en-US" w:eastAsia="zh-CN"/>
        </w:rPr>
      </w:pPr>
    </w:p>
    <w:p>
      <w:pPr>
        <w:pStyle w:val="4"/>
        <w:keepNext w:val="0"/>
        <w:keepLines w:val="0"/>
        <w:pageBreakBefore w:val="0"/>
        <w:widowControl w:val="0"/>
        <w:kinsoku/>
        <w:wordWrap/>
        <w:overflowPunct w:val="0"/>
        <w:topLinePunct w:val="0"/>
        <w:autoSpaceDE/>
        <w:autoSpaceDN/>
        <w:bidi w:val="0"/>
        <w:adjustRightInd/>
        <w:snapToGrid/>
        <w:spacing w:before="0" w:beforeAutospacing="0" w:after="0" w:afterAutospacing="0" w:line="520" w:lineRule="exact"/>
        <w:ind w:left="0" w:leftChars="0" w:right="960" w:firstLine="640" w:firstLineChars="200"/>
        <w:jc w:val="right"/>
        <w:textAlignment w:val="auto"/>
        <w:rPr>
          <w:rFonts w:hint="eastAsia" w:ascii="仿宋_GB2312" w:hAnsi="仿宋" w:eastAsia="仿宋_GB2312" w:cs="仿宋"/>
          <w:color w:val="000000"/>
          <w:sz w:val="32"/>
          <w:szCs w:val="32"/>
          <w:lang w:val="zh-CN"/>
        </w:rPr>
      </w:pPr>
      <w:r>
        <w:rPr>
          <w:rFonts w:hint="eastAsia" w:ascii="仿宋_GB2312" w:hAnsi="仿宋" w:eastAsia="仿宋_GB2312" w:cs="仿宋"/>
          <w:color w:val="000000"/>
          <w:sz w:val="32"/>
          <w:szCs w:val="32"/>
          <w:lang w:val="zh-CN"/>
        </w:rPr>
        <w:t>连城县商务局</w:t>
      </w:r>
    </w:p>
    <w:p>
      <w:pPr>
        <w:pStyle w:val="4"/>
        <w:keepNext w:val="0"/>
        <w:keepLines w:val="0"/>
        <w:pageBreakBefore w:val="0"/>
        <w:widowControl w:val="0"/>
        <w:kinsoku/>
        <w:wordWrap/>
        <w:overflowPunct w:val="0"/>
        <w:topLinePunct w:val="0"/>
        <w:autoSpaceDE/>
        <w:autoSpaceDN/>
        <w:bidi w:val="0"/>
        <w:adjustRightInd/>
        <w:snapToGrid/>
        <w:spacing w:before="0" w:beforeAutospacing="0" w:after="0" w:afterAutospacing="0" w:line="520" w:lineRule="exact"/>
        <w:ind w:left="0" w:leftChars="0" w:right="640" w:firstLine="640" w:firstLineChars="200"/>
        <w:jc w:val="right"/>
        <w:textAlignment w:val="auto"/>
        <w:rPr>
          <w:rFonts w:hint="eastAsia" w:ascii="仿宋_GB2312" w:hAnsi="仿宋" w:eastAsia="仿宋_GB2312" w:cs="仿宋"/>
          <w:color w:val="000000"/>
          <w:sz w:val="32"/>
          <w:szCs w:val="32"/>
          <w:lang w:val="zh-CN"/>
        </w:rPr>
      </w:pPr>
      <w:r>
        <w:rPr>
          <w:rFonts w:hint="eastAsia" w:ascii="仿宋_GB2312" w:hAnsi="仿宋" w:eastAsia="仿宋_GB2312" w:cs="仿宋"/>
          <w:color w:val="000000"/>
          <w:sz w:val="32"/>
          <w:szCs w:val="32"/>
          <w:lang w:val="zh-CN"/>
        </w:rPr>
        <w:t>2018年4月18日</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jc w:val="left"/>
        <w:textAlignment w:val="auto"/>
        <w:rPr>
          <w:rFonts w:hint="eastAsia" w:ascii="宋体" w:hAnsi="宋体" w:eastAsia="宋体" w:cs="宋体"/>
          <w:b/>
          <w:bCs/>
          <w:sz w:val="36"/>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FAA1DC"/>
    <w:multiLevelType w:val="singleLevel"/>
    <w:tmpl w:val="67FAA1DC"/>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wNTQxNjIwYmUzMzE2M2Q5NmI1ODBiYTI3Y2E0NGEifQ=="/>
  </w:docVars>
  <w:rsids>
    <w:rsidRoot w:val="34AB06D1"/>
    <w:rsid w:val="294D2075"/>
    <w:rsid w:val="34AB06D1"/>
    <w:rsid w:val="36112471"/>
    <w:rsid w:val="4C4E5E85"/>
    <w:rsid w:val="568D7282"/>
    <w:rsid w:val="716C53D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szCs w:val="18"/>
    </w:rPr>
  </w:style>
  <w:style w:type="paragraph" w:styleId="4">
    <w:name w:val="Normal (Web)"/>
    <w:basedOn w:val="1"/>
    <w:uiPriority w:val="0"/>
    <w:pPr>
      <w:widowControl/>
      <w:spacing w:before="100" w:beforeAutospacing="1" w:after="100" w:afterAutospacing="1"/>
      <w:jc w:val="left"/>
    </w:pPr>
    <w:rPr>
      <w:rFonts w:ascii="宋体" w:hAnsi="宋体" w:cs="宋体"/>
      <w:kern w:val="0"/>
      <w:sz w:val="24"/>
    </w:rPr>
  </w:style>
  <w:style w:type="character" w:styleId="7">
    <w:name w:val="page number"/>
    <w:basedOn w:val="6"/>
    <w:uiPriority w:val="0"/>
  </w:style>
  <w:style w:type="paragraph" w:customStyle="1" w:styleId="8">
    <w:name w:val="正文 New New"/>
    <w:qFormat/>
    <w:uiPriority w:val="99"/>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3237</Words>
  <Characters>3411</Characters>
  <Lines>0</Lines>
  <Paragraphs>0</Paragraphs>
  <TotalTime>0</TotalTime>
  <ScaleCrop>false</ScaleCrop>
  <LinksUpToDate>false</LinksUpToDate>
  <CharactersWithSpaces>3420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2018-04-18T00:59:00Z</dcterms:created>
  <dc:creator>松</dc:creator>
  <cp:lastModifiedBy>繁华无星空</cp:lastModifiedBy>
  <cp:lastPrinted>2018-04-18T02:29:00Z</cp:lastPrinted>
  <dcterms:modified xsi:type="dcterms:W3CDTF">2024-05-22T07:58:15Z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27D17C3B67054641B5DC27DCA9052788_12</vt:lpwstr>
  </property>
</Properties>
</file>