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年度省级财政林业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生态补偿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专项资金绩效自评报告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(一)项目概况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根据《龙岩市财政局 龙岩市林业局关于转下达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年省级财政林业专项资金(第一批)的通知》（龙财农指〔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号）文件精神，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仿宋" w:eastAsia="仿宋_GB2312"/>
          <w:sz w:val="32"/>
          <w:szCs w:val="32"/>
        </w:rPr>
        <w:t>年度连城县森林生态效益补偿面积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" w:eastAsia="仿宋_GB2312"/>
          <w:sz w:val="32"/>
          <w:szCs w:val="32"/>
        </w:rPr>
        <w:t>万亩，其中国家级生态公益林面积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5413</w:t>
      </w:r>
      <w:r>
        <w:rPr>
          <w:rFonts w:hint="eastAsia" w:ascii="仿宋_GB2312" w:hAnsi="仿宋" w:eastAsia="仿宋_GB2312"/>
          <w:sz w:val="32"/>
          <w:szCs w:val="32"/>
        </w:rPr>
        <w:t>万亩（国有面积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5864</w:t>
      </w:r>
      <w:r>
        <w:rPr>
          <w:rFonts w:hint="eastAsia" w:ascii="仿宋_GB2312" w:hAnsi="仿宋" w:eastAsia="仿宋_GB2312"/>
          <w:sz w:val="32"/>
          <w:szCs w:val="32"/>
        </w:rPr>
        <w:t>万亩、集体及个人面积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9549</w:t>
      </w:r>
      <w:r>
        <w:rPr>
          <w:rFonts w:hint="eastAsia" w:ascii="仿宋_GB2312" w:hAnsi="仿宋" w:eastAsia="仿宋_GB2312"/>
          <w:sz w:val="32"/>
          <w:szCs w:val="32"/>
        </w:rPr>
        <w:t>万亩），补偿资金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1156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" w:eastAsia="仿宋_GB2312"/>
          <w:sz w:val="32"/>
          <w:szCs w:val="32"/>
        </w:rPr>
        <w:t>万元；重点生态区位商品林赎买等改革面积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2741</w:t>
      </w:r>
      <w:r>
        <w:rPr>
          <w:rFonts w:hint="eastAsia" w:ascii="仿宋_GB2312" w:hAnsi="仿宋" w:eastAsia="仿宋_GB2312"/>
          <w:sz w:val="32"/>
          <w:szCs w:val="32"/>
        </w:rPr>
        <w:t>万亩，补助资金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(二)项目绩效目标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森林生态效益补偿面积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" w:eastAsia="仿宋_GB2312"/>
          <w:sz w:val="32"/>
          <w:szCs w:val="32"/>
        </w:rPr>
        <w:t>万亩，其中国家级生态公益林面积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5413</w:t>
      </w:r>
      <w:r>
        <w:rPr>
          <w:rFonts w:hint="eastAsia" w:ascii="仿宋_GB2312" w:hAnsi="仿宋" w:eastAsia="仿宋_GB2312"/>
          <w:sz w:val="32"/>
          <w:szCs w:val="32"/>
        </w:rPr>
        <w:t>万亩（国有面积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5864</w:t>
      </w:r>
      <w:r>
        <w:rPr>
          <w:rFonts w:hint="eastAsia" w:ascii="仿宋_GB2312" w:hAnsi="仿宋" w:eastAsia="仿宋_GB2312"/>
          <w:sz w:val="32"/>
          <w:szCs w:val="32"/>
        </w:rPr>
        <w:t>万亩、集体及个人面积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9549</w:t>
      </w:r>
      <w:r>
        <w:rPr>
          <w:rFonts w:hint="eastAsia" w:ascii="仿宋_GB2312" w:hAnsi="仿宋" w:eastAsia="仿宋_GB2312"/>
          <w:sz w:val="32"/>
          <w:szCs w:val="32"/>
        </w:rPr>
        <w:t>万亩），补偿资金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1156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" w:eastAsia="仿宋_GB2312"/>
          <w:sz w:val="32"/>
          <w:szCs w:val="32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重点生态区位商品林赎买等改革面积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2741</w:t>
      </w:r>
      <w:r>
        <w:rPr>
          <w:rFonts w:hint="eastAsia" w:ascii="仿宋_GB2312" w:hAnsi="仿宋" w:eastAsia="仿宋_GB2312"/>
          <w:sz w:val="32"/>
          <w:szCs w:val="32"/>
        </w:rPr>
        <w:t>万亩，补助资金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.阶段性目标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森林生态效益补偿面积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" w:eastAsia="仿宋_GB2312"/>
          <w:sz w:val="32"/>
          <w:szCs w:val="32"/>
        </w:rPr>
        <w:t>万亩，其中国家级生态公益林面积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5413</w:t>
      </w:r>
      <w:r>
        <w:rPr>
          <w:rFonts w:hint="eastAsia" w:ascii="仿宋_GB2312" w:hAnsi="仿宋" w:eastAsia="仿宋_GB2312"/>
          <w:sz w:val="32"/>
          <w:szCs w:val="32"/>
        </w:rPr>
        <w:t>万亩（国有面积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5864</w:t>
      </w:r>
      <w:r>
        <w:rPr>
          <w:rFonts w:hint="eastAsia" w:ascii="仿宋_GB2312" w:hAnsi="仿宋" w:eastAsia="仿宋_GB2312"/>
          <w:sz w:val="32"/>
          <w:szCs w:val="32"/>
        </w:rPr>
        <w:t>万亩、集体及个人面积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9549</w:t>
      </w:r>
      <w:r>
        <w:rPr>
          <w:rFonts w:hint="eastAsia" w:ascii="仿宋_GB2312" w:hAnsi="仿宋" w:eastAsia="仿宋_GB2312"/>
          <w:sz w:val="32"/>
          <w:szCs w:val="32"/>
        </w:rPr>
        <w:t>万亩），已下拨资金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521</w:t>
      </w:r>
      <w:r>
        <w:rPr>
          <w:rFonts w:hint="eastAsia" w:ascii="仿宋_GB2312" w:hAnsi="仿宋" w:eastAsia="仿宋_GB2312"/>
          <w:sz w:val="32"/>
          <w:szCs w:val="32"/>
        </w:rPr>
        <w:t>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重点生态区位商品林赎买等改革面积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2741</w:t>
      </w:r>
      <w:r>
        <w:rPr>
          <w:rFonts w:hint="eastAsia" w:ascii="仿宋_GB2312" w:hAnsi="仿宋" w:eastAsia="仿宋_GB2312"/>
          <w:sz w:val="32"/>
          <w:szCs w:val="32"/>
        </w:rPr>
        <w:t>万亩，补助资金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万元，资金已下拨。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二、绩效评价工作开展情况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(一)绩效评价目的、对象和范围。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连城县森林生态效益补偿面积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" w:eastAsia="仿宋_GB2312"/>
          <w:sz w:val="32"/>
          <w:szCs w:val="32"/>
        </w:rPr>
        <w:t>万亩，其中国家级生态公益林面积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5413</w:t>
      </w:r>
      <w:r>
        <w:rPr>
          <w:rFonts w:hint="eastAsia" w:ascii="仿宋_GB2312" w:hAnsi="仿宋" w:eastAsia="仿宋_GB2312"/>
          <w:sz w:val="32"/>
          <w:szCs w:val="32"/>
        </w:rPr>
        <w:t>万亩（国有面积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5864</w:t>
      </w:r>
      <w:r>
        <w:rPr>
          <w:rFonts w:hint="eastAsia" w:ascii="仿宋_GB2312" w:hAnsi="仿宋" w:eastAsia="仿宋_GB2312"/>
          <w:sz w:val="32"/>
          <w:szCs w:val="32"/>
        </w:rPr>
        <w:t>万亩、集体及个人面积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9549</w:t>
      </w:r>
      <w:r>
        <w:rPr>
          <w:rFonts w:hint="eastAsia" w:ascii="仿宋_GB2312" w:hAnsi="仿宋" w:eastAsia="仿宋_GB2312"/>
          <w:sz w:val="32"/>
          <w:szCs w:val="32"/>
        </w:rPr>
        <w:t>万亩），补偿资金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1156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" w:eastAsia="仿宋_GB2312"/>
          <w:sz w:val="32"/>
          <w:szCs w:val="32"/>
        </w:rPr>
        <w:t>万元；重点生态区位商品林赎买等改革面积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2741</w:t>
      </w:r>
      <w:r>
        <w:rPr>
          <w:rFonts w:hint="eastAsia" w:ascii="仿宋_GB2312" w:hAnsi="仿宋" w:eastAsia="仿宋_GB2312"/>
          <w:sz w:val="32"/>
          <w:szCs w:val="32"/>
        </w:rPr>
        <w:t>万亩，补助资金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(二)绩效评价原则、评价指标体系、评价方法、评价标准等。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.绩效评价原则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整个绩效评价工作遵循“合法依规、科学客观、全面评价、提升绩效”的十六字原则，组织开展项目支出绩效评价工作。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.评价指标体系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财政部《预算绩效评价共性指标体系框架》等文件精神及本项目的具体特点，设置了合理可行的评价体系，包括投入指标（资金落实和使用指标）、产出指标（产出数量、产出质量、产出时效、产出经济成本指标）、效益指标（社会效益、生态效益和可持续影响指标）、满意度指标等，具体详见项目支出绩效评分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.评价方法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本项目支出绩效评价主要采用的是结果比较法，即数据对比，标准和产出对照，同时辅以访谈、研讨、审计等方法。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.评价标准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达到或超过目标的得指标分，未达到目标值的，（完成数量/目标数量）*指标分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(三)绩效评价工作过程。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.工作部署阶段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做好绩效评价工作，规范和加强专项资金管理，切实提高专项资金的使用绩效和管理水平，我单位成立了以局长为组长，各股室负责人为成员的项目领导小组，认真研究并结合我单位的特点，以及县财政局提出的绩效评价指标设计要求，制定了评价指标体系，绩效评价个性指标及评价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.数据采集阶段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认真做好基础资料和相关数据的收集、整理工作，根据收集的数据资料，详细填报绩效自评相关报表。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.单位自评阶段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根据有关数据及评价标准，进行数据分析，根据项目绩效评价指标体系，对项目填写 “项目支出绩效自评表”，进行自评打分，得出项目的自评分数，并形成书面项目支出绩效评价报告，将“项目支出绩效评价报告”、“项目支出绩效评自评表”等纸质版、电子版材料上报至局绩效评价工作领导小组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三、综合评价情况及评价结论</w:t>
      </w:r>
      <w:r>
        <w:rPr>
          <w:rFonts w:hint="eastAsia" w:ascii="仿宋_GB2312" w:hAnsi="仿宋_GB2312" w:eastAsia="仿宋_GB2312" w:cs="仿宋_GB2312"/>
          <w:sz w:val="32"/>
          <w:szCs w:val="32"/>
        </w:rPr>
        <w:t>(附相关评分表)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财政项目支出绩效评价工作方案，通过对资金落实和使用指标、产出指标（包括数量指标、质量指标、时效指标、成本指标）、效益指标（包括社会效益指标、可持续影响指标）和满意度指标（服务对象满意度指标）进行项目支出绩效自评，综合权重部门自评得分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四、绩效评价指标分析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(一)项目决策情况。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为了做好本次绩效评价工作，成立了项目绩效评价工作小组，负责统一布置、指导、协调和落实此次绩效评价工作的开展。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(二)项目过程情况。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资金管理分析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）资金到位率：资金实际到位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795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万元，预算资金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1430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万元，资金到位率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）预算资金执行率：实际支出资金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795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万元，实际到位资金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795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万元，预算资金执行率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）资金使用合规性：项目严格按照专项资金使用管理办法文件规定使用资金，做到专款专用。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组织实施分析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）管理制度健全。制定了《专项资金管理制度》，并严格执行上述管理制度和专项资金使用管理办法。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）制度执行严格有效。严格按照项目管理制度组织项目实施。严格按照要求组织项目实施。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(三)项目产出情况。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产生数量分析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省级以上公益林补助面积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万亩 ，重点生态区位商品林赎买等改革面积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2741</w:t>
      </w:r>
      <w:r>
        <w:rPr>
          <w:rFonts w:hint="eastAsia" w:ascii="仿宋_GB2312" w:hAnsi="仿宋_GB2312" w:eastAsia="仿宋_GB2312" w:cs="仿宋_GB2312"/>
          <w:sz w:val="32"/>
          <w:szCs w:val="32"/>
        </w:rPr>
        <w:t>万亩。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产出质量分析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生态公益林保有量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9452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万亩，重点生态区位商品林赎买等改革合同签订率为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产出时效分析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省级财政林业生态补偿专项资金下达率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产出成本分析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投入资金控制率达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%，省级以上公益林（经济林和竹林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元/亩，省级以上公益林（乔木林和</w:t>
      </w:r>
      <w:r>
        <w:rPr>
          <w:rFonts w:hint="eastAsia" w:ascii="宋体" w:hAnsi="宋体" w:eastAsia="宋体" w:cs="宋体"/>
          <w:sz w:val="32"/>
          <w:szCs w:val="32"/>
        </w:rPr>
        <w:t>其他林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元/亩。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(四)项目效益情况。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经济效益分析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重点生态区位商品林赎买林农收入增加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生态效益分析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公益林平均亩蓄积量变化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满意度分析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公益林林权所有者满意度达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92</w:t>
      </w:r>
      <w:r>
        <w:rPr>
          <w:rFonts w:hint="eastAsia" w:ascii="仿宋_GB2312" w:hAnsi="仿宋_GB2312" w:eastAsia="仿宋_GB2312" w:cs="仿宋_GB2312"/>
          <w:sz w:val="32"/>
          <w:szCs w:val="32"/>
        </w:rPr>
        <w:t>%；重点生态区商品林赎买林农满意度达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五、主要经验及做法、存在的问题及原因分析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主要经验及做法：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省级以上公益林补偿和重点生态区商品林赎买对我县森林</w:t>
      </w:r>
      <w:r>
        <w:rPr>
          <w:rFonts w:hint="eastAsia" w:ascii="仿宋_GB2312" w:hAnsi="宋体" w:eastAsia="仿宋_GB2312" w:cs="宋体"/>
          <w:sz w:val="32"/>
          <w:szCs w:val="32"/>
        </w:rPr>
        <w:t>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保护和发展起到了积极的作用，服务了广大林农，有力地推动了我县林业事业的发展、取得了良好的经济效益、生态效益和社会效益。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由于县财政困难，无法及时拨付省级以上财政林业专项资金，导致项目无法正常实施。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六、有关建议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鉴于县财政困难，为了保证省级以上财政资金能专款专用，建议设立项目专项资金帐户。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仿宋_GB2312"/>
          <w:b w:val="0"/>
          <w:bCs/>
          <w:sz w:val="32"/>
          <w:szCs w:val="32"/>
        </w:rPr>
        <w:t>七、其他需要说明的问题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无其他需要说明的问题。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docVars>
    <w:docVar w:name="commondata" w:val="eyJoZGlkIjoiNzg3MTIyZjFjNzgxYjA1ZDYwZGY2MTI5NGQwNTBlNjMifQ=="/>
  </w:docVars>
  <w:rsids>
    <w:rsidRoot w:val="00DC606C"/>
    <w:rsid w:val="00097455"/>
    <w:rsid w:val="006B2440"/>
    <w:rsid w:val="00D36E65"/>
    <w:rsid w:val="00DC606C"/>
    <w:rsid w:val="09654B91"/>
    <w:rsid w:val="0D687620"/>
    <w:rsid w:val="106B45D8"/>
    <w:rsid w:val="1352573F"/>
    <w:rsid w:val="1D0041C5"/>
    <w:rsid w:val="1D842C96"/>
    <w:rsid w:val="1E1E44BB"/>
    <w:rsid w:val="1E4B0C13"/>
    <w:rsid w:val="1E7C04CA"/>
    <w:rsid w:val="1FBE99DD"/>
    <w:rsid w:val="23A73351"/>
    <w:rsid w:val="27D11497"/>
    <w:rsid w:val="30E005E3"/>
    <w:rsid w:val="30EC5EE8"/>
    <w:rsid w:val="329E285A"/>
    <w:rsid w:val="33274DA1"/>
    <w:rsid w:val="3EF80539"/>
    <w:rsid w:val="471E27E2"/>
    <w:rsid w:val="4942035D"/>
    <w:rsid w:val="4A765644"/>
    <w:rsid w:val="4ABC3110"/>
    <w:rsid w:val="4C794B15"/>
    <w:rsid w:val="52BA2D4E"/>
    <w:rsid w:val="53BD416B"/>
    <w:rsid w:val="5DDD4D56"/>
    <w:rsid w:val="68393307"/>
    <w:rsid w:val="693E4146"/>
    <w:rsid w:val="69E83787"/>
    <w:rsid w:val="70AB17CF"/>
    <w:rsid w:val="72DD1BB6"/>
    <w:rsid w:val="74830F1D"/>
    <w:rsid w:val="76BE358A"/>
    <w:rsid w:val="78F61D44"/>
    <w:rsid w:val="7DAB7EE6"/>
    <w:rsid w:val="7F7C241B"/>
    <w:rsid w:val="7FE597FD"/>
    <w:rsid w:val="E7DDBE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2137</Words>
  <Characters>2386</Characters>
  <Lines>17</Lines>
  <Paragraphs>4</Paragraphs>
  <TotalTime>35</TotalTime>
  <ScaleCrop>false</ScaleCrop>
  <LinksUpToDate>false</LinksUpToDate>
  <CharactersWithSpaces>2392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2023-03-07T08:56:00Z</dcterms:created>
  <dc:creator>Apache POI</dc:creator>
  <cp:lastModifiedBy>Administrator</cp:lastModifiedBy>
  <dcterms:modified xsi:type="dcterms:W3CDTF">2023-03-20T07:14:25Z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994FA7F47C1B4330B52B038CF1F99D33</vt:lpwstr>
  </property>
</Properties>
</file>