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32"/>
          <w:szCs w:val="32"/>
          <w:lang w:eastAsia="zh-CN"/>
        </w:rPr>
      </w:pPr>
      <w:r>
        <w:rPr>
          <w:rFonts w:ascii="黑体" w:hAnsi="黑体" w:eastAsia="黑体"/>
          <w:sz w:val="32"/>
          <w:szCs w:val="32"/>
        </w:rPr>
        <w:t>附件</w:t>
      </w:r>
      <w:r>
        <w:rPr>
          <w:rFonts w:hint="eastAsia" w:eastAsia="黑体" w:cs="Times New Roman"/>
          <w:sz w:val="32"/>
          <w:szCs w:val="32"/>
          <w:lang w:val="en-US" w:eastAsia="zh-CN"/>
        </w:rPr>
        <w:t>3</w:t>
      </w:r>
      <w:r>
        <w:rPr>
          <w:rFonts w:ascii="黑体" w:hAnsi="黑体" w:eastAsia="黑体"/>
          <w:sz w:val="32"/>
          <w:szCs w:val="32"/>
        </w:rPr>
        <w:t>-</w:t>
      </w:r>
      <w:r>
        <w:rPr>
          <w:rFonts w:hint="eastAsia" w:eastAsia="黑体" w:cs="Times New Roman"/>
          <w:sz w:val="32"/>
          <w:szCs w:val="32"/>
          <w:lang w:val="en-US" w:eastAsia="zh-CN"/>
        </w:rPr>
        <w:t>3</w:t>
      </w:r>
    </w:p>
    <w:p>
      <w:pPr>
        <w:tabs>
          <w:tab w:val="left" w:pos="720"/>
        </w:tabs>
        <w:spacing w:line="560" w:lineRule="exact"/>
        <w:jc w:val="center"/>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36"/>
          <w:szCs w:val="36"/>
        </w:rPr>
      </w:pPr>
      <w:r>
        <w:rPr>
          <w:rFonts w:hint="default" w:ascii="Times New Roman" w:hAnsi="Times New Roman" w:eastAsia="方正小标宋简体" w:cs="Times New Roman"/>
          <w:sz w:val="36"/>
          <w:szCs w:val="36"/>
        </w:rPr>
        <w:t>2022</w:t>
      </w:r>
      <w:r>
        <w:rPr>
          <w:rFonts w:hint="eastAsia" w:ascii="方正小标宋简体" w:hAnsi="宋体" w:eastAsia="方正小标宋简体"/>
          <w:sz w:val="36"/>
          <w:szCs w:val="36"/>
        </w:rPr>
        <w:t>年</w:t>
      </w:r>
      <w:r>
        <w:rPr>
          <w:rFonts w:hint="eastAsia" w:ascii="方正小标宋简体" w:hAnsi="宋体" w:eastAsia="方正小标宋简体"/>
          <w:sz w:val="36"/>
          <w:szCs w:val="36"/>
          <w:lang w:eastAsia="zh-CN"/>
        </w:rPr>
        <w:t>度</w:t>
      </w:r>
      <w:r>
        <w:rPr>
          <w:rFonts w:hint="eastAsia" w:ascii="方正小标宋简体" w:hAnsi="宋体" w:eastAsia="方正小标宋简体"/>
          <w:sz w:val="36"/>
          <w:szCs w:val="36"/>
        </w:rPr>
        <w:t>省级财政林业生态保护资金项目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36"/>
          <w:szCs w:val="36"/>
        </w:rPr>
      </w:pPr>
      <w:r>
        <w:rPr>
          <w:rFonts w:hint="eastAsia" w:ascii="方正小标宋简体" w:hAnsi="宋体" w:eastAsia="方正小标宋简体"/>
          <w:sz w:val="36"/>
          <w:szCs w:val="36"/>
        </w:rPr>
        <w:t>绩效自评报告</w:t>
      </w:r>
    </w:p>
    <w:p>
      <w:pPr>
        <w:keepNext w:val="0"/>
        <w:keepLines w:val="0"/>
        <w:pageBreakBefore w:val="0"/>
        <w:widowControl w:val="0"/>
        <w:kinsoku/>
        <w:wordWrap/>
        <w:overflowPunct/>
        <w:topLinePunct w:val="0"/>
        <w:autoSpaceDE/>
        <w:autoSpaceDN/>
        <w:bidi w:val="0"/>
        <w:adjustRightInd/>
        <w:snapToGrid/>
        <w:spacing w:line="560" w:lineRule="exact"/>
        <w:ind w:firstLine="787" w:firstLineChars="246"/>
        <w:textAlignment w:val="auto"/>
        <w:rPr>
          <w:rFonts w:ascii="黑体" w:hAnsi="黑体" w:eastAsia="黑体"/>
          <w:bCs/>
          <w:sz w:val="32"/>
          <w:szCs w:val="32"/>
        </w:rPr>
      </w:pPr>
      <w:r>
        <w:rPr>
          <w:rFonts w:ascii="黑体" w:hAnsi="黑体" w:eastAsia="黑体"/>
          <w:bCs/>
          <w:sz w:val="32"/>
          <w:szCs w:val="32"/>
        </w:rPr>
        <w:t>一、基本情况</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sz w:val="32"/>
          <w:szCs w:val="32"/>
        </w:rPr>
      </w:pPr>
      <w:r>
        <w:rPr>
          <w:rFonts w:hint="eastAsia" w:ascii="楷体_GB2312" w:eastAsia="楷体_GB2312"/>
          <w:b/>
          <w:sz w:val="32"/>
          <w:szCs w:val="32"/>
        </w:rPr>
        <w:t>（一）项目概况</w:t>
      </w:r>
      <w:r>
        <w:rPr>
          <w:rFonts w:hint="eastAsia" w:ascii="楷体_GB2312" w:eastAsia="楷体_GB2312"/>
          <w:b/>
          <w:sz w:val="32"/>
          <w:szCs w:val="32"/>
          <w:lang w:val="en-US" w:eastAsia="zh-CN"/>
        </w:rPr>
        <w:t xml:space="preserve"> </w:t>
      </w:r>
      <w:r>
        <w:rPr>
          <w:rFonts w:hAnsi="仿宋_GB2312" w:eastAsia="仿宋_GB2312"/>
          <w:sz w:val="32"/>
          <w:szCs w:val="32"/>
        </w:rPr>
        <w:t>为加强冠豸山风景名胜区管理的科学性和连续性，统筹资源保护、旅游发展和周边城乡之间的关系，特组织新一轮的总规修编。冠豸山风景区，面积</w:t>
      </w:r>
      <w:r>
        <w:rPr>
          <w:rFonts w:hint="default" w:ascii="Times New Roman" w:hAnsi="Times New Roman" w:eastAsia="仿宋_GB2312" w:cs="Times New Roman"/>
          <w:sz w:val="32"/>
          <w:szCs w:val="32"/>
        </w:rPr>
        <w:t>123</w:t>
      </w:r>
      <w:r>
        <w:rPr>
          <w:rFonts w:hAnsi="仿宋_GB2312" w:eastAsia="仿宋_GB2312"/>
          <w:sz w:val="32"/>
          <w:szCs w:val="32"/>
        </w:rPr>
        <w:t>平方公里，规划期限</w:t>
      </w:r>
      <w:r>
        <w:rPr>
          <w:rFonts w:hint="default" w:ascii="Times New Roman" w:hAnsi="Times New Roman" w:eastAsia="仿宋_GB2312" w:cs="Times New Roman"/>
          <w:sz w:val="32"/>
          <w:szCs w:val="32"/>
        </w:rPr>
        <w:t>2021</w:t>
      </w:r>
      <w:r>
        <w:rPr>
          <w:rFonts w:eastAsia="仿宋_GB2312"/>
          <w:sz w:val="32"/>
          <w:szCs w:val="32"/>
        </w:rPr>
        <w:t>-</w:t>
      </w:r>
      <w:r>
        <w:rPr>
          <w:rFonts w:hint="default" w:ascii="Times New Roman" w:hAnsi="Times New Roman" w:eastAsia="仿宋_GB2312" w:cs="Times New Roman"/>
          <w:sz w:val="32"/>
          <w:szCs w:val="32"/>
        </w:rPr>
        <w:t>2035</w:t>
      </w:r>
      <w:r>
        <w:rPr>
          <w:rFonts w:hAnsi="仿宋_GB2312" w:eastAsia="仿宋_GB2312"/>
          <w:sz w:val="32"/>
          <w:szCs w:val="32"/>
        </w:rPr>
        <w:t>年，主要内容目的是优化布局，为景区封闭式管理创造条件，高标准规划各类设施。</w:t>
      </w:r>
      <w:r>
        <w:rPr>
          <w:rFonts w:eastAsia="仿宋_GB2312"/>
          <w:sz w:val="32"/>
          <w:szCs w:val="32"/>
        </w:rPr>
        <w:t>通过实施松材线虫病防治性采伐，有效控制松材线虫病在我县传播扩散和蔓延。</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147"/>
        <w:textAlignment w:val="auto"/>
        <w:rPr>
          <w:rFonts w:hint="eastAsia" w:ascii="楷体_GB2312" w:eastAsia="楷体_GB2312"/>
          <w:b/>
          <w:sz w:val="32"/>
          <w:szCs w:val="32"/>
        </w:rPr>
      </w:pPr>
      <w:r>
        <w:rPr>
          <w:rFonts w:hint="eastAsia" w:ascii="楷体_GB2312" w:eastAsia="楷体_GB2312"/>
          <w:b/>
          <w:sz w:val="32"/>
          <w:szCs w:val="32"/>
        </w:rPr>
        <w:t xml:space="preserve">（二）项目绩效目标 </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eastAsia="仿宋_GB2312"/>
          <w:sz w:val="32"/>
          <w:szCs w:val="32"/>
        </w:rPr>
      </w:pPr>
      <w:r>
        <w:rPr>
          <w:rFonts w:hint="default" w:ascii="Times New Roman" w:hAnsi="Times New Roman" w:eastAsia="仿宋_GB2312" w:cs="Times New Roman"/>
          <w:b/>
          <w:bCs/>
          <w:sz w:val="32"/>
          <w:szCs w:val="32"/>
        </w:rPr>
        <w:t>1</w:t>
      </w:r>
      <w:r>
        <w:rPr>
          <w:rFonts w:eastAsia="仿宋_GB2312"/>
          <w:b/>
          <w:bCs/>
          <w:sz w:val="32"/>
          <w:szCs w:val="32"/>
        </w:rPr>
        <w:t>.预期总目标。一是</w:t>
      </w:r>
      <w:r>
        <w:rPr>
          <w:rFonts w:hAnsi="仿宋_GB2312" w:eastAsia="仿宋_GB2312"/>
          <w:sz w:val="32"/>
          <w:szCs w:val="32"/>
        </w:rPr>
        <w:t>严格保护和合理利用风景资源的前提下，依托冠豸山世界级的地质景观资源，结合全域旅游的发展趋势，创建国家</w:t>
      </w:r>
      <w:r>
        <w:rPr>
          <w:rFonts w:hint="default" w:ascii="Times New Roman" w:hAnsi="Times New Roman" w:eastAsia="仿宋_GB2312" w:cs="Times New Roman"/>
          <w:sz w:val="32"/>
          <w:szCs w:val="32"/>
        </w:rPr>
        <w:t>5</w:t>
      </w:r>
      <w:r>
        <w:rPr>
          <w:rFonts w:eastAsia="仿宋_GB2312"/>
          <w:sz w:val="32"/>
          <w:szCs w:val="32"/>
        </w:rPr>
        <w:t>A</w:t>
      </w:r>
      <w:r>
        <w:rPr>
          <w:rFonts w:hAnsi="仿宋_GB2312" w:eastAsia="仿宋_GB2312"/>
          <w:sz w:val="32"/>
          <w:szCs w:val="32"/>
        </w:rPr>
        <w:t>级景区，完成冠豸山世界地质公园的申报，打造国际旅游目的地。</w:t>
      </w:r>
      <w:r>
        <w:rPr>
          <w:rFonts w:hAnsi="仿宋_GB2312" w:eastAsia="仿宋_GB2312"/>
          <w:b/>
          <w:bCs/>
          <w:sz w:val="32"/>
          <w:szCs w:val="32"/>
        </w:rPr>
        <w:t>二是</w:t>
      </w:r>
      <w:r>
        <w:rPr>
          <w:rFonts w:eastAsia="仿宋_GB2312"/>
          <w:sz w:val="32"/>
          <w:szCs w:val="32"/>
        </w:rPr>
        <w:t>通过在我县北团镇实施松材线虫病防治性采伐</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865</w:t>
      </w:r>
      <w:r>
        <w:rPr>
          <w:rFonts w:eastAsia="仿宋_GB2312"/>
          <w:sz w:val="32"/>
          <w:szCs w:val="32"/>
        </w:rPr>
        <w:t>亩，有效控制松材线虫病在我县传播扩散和蔓延。</w:t>
      </w:r>
      <w:r>
        <w:rPr>
          <w:rFonts w:hint="eastAsia" w:eastAsia="仿宋_GB2312"/>
          <w:sz w:val="32"/>
          <w:szCs w:val="32"/>
          <w:lang w:eastAsia="zh-CN"/>
        </w:rPr>
        <w:t>已</w:t>
      </w:r>
      <w:r>
        <w:rPr>
          <w:rFonts w:eastAsia="仿宋_GB2312"/>
          <w:sz w:val="32"/>
          <w:szCs w:val="32"/>
        </w:rPr>
        <w:t>完成松材线虫病防治性采伐</w:t>
      </w:r>
      <w:r>
        <w:rPr>
          <w:rFonts w:hint="default" w:ascii="Times New Roman" w:hAnsi="Times New Roman" w:eastAsia="仿宋_GB2312" w:cs="Times New Roman"/>
          <w:sz w:val="32"/>
          <w:szCs w:val="32"/>
          <w:lang w:val="en-US" w:eastAsia="zh-CN"/>
        </w:rPr>
        <w:t>2865</w:t>
      </w:r>
      <w:r>
        <w:rPr>
          <w:rFonts w:eastAsia="仿宋_GB2312"/>
          <w:sz w:val="32"/>
          <w:szCs w:val="32"/>
        </w:rPr>
        <w:t>亩，达到提高森林质量和抵御病虫害能力，保护我县森林资源安全和国土生态安全。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sz w:val="32"/>
          <w:szCs w:val="32"/>
        </w:rPr>
      </w:pPr>
      <w:r>
        <w:rPr>
          <w:rFonts w:hint="default" w:ascii="Times New Roman" w:hAnsi="Times New Roman" w:eastAsia="仿宋_GB2312" w:cs="Times New Roman"/>
          <w:b/>
          <w:bCs/>
          <w:sz w:val="32"/>
          <w:szCs w:val="32"/>
        </w:rPr>
        <w:t>2</w:t>
      </w:r>
      <w:r>
        <w:rPr>
          <w:rFonts w:eastAsia="仿宋_GB2312"/>
          <w:b/>
          <w:bCs/>
          <w:sz w:val="32"/>
          <w:szCs w:val="32"/>
        </w:rPr>
        <w:t>.预期阶段性目标。一是</w:t>
      </w:r>
      <w:r>
        <w:rPr>
          <w:rFonts w:hAnsi="仿宋_GB2312" w:eastAsia="仿宋_GB2312"/>
          <w:sz w:val="32"/>
          <w:szCs w:val="32"/>
        </w:rPr>
        <w:t>重点开发竹安寨景区、九龙湖景区以及赖源景区的溶洞区域，完善石门湖景区、冠豸山景区游憩和服务设施系统建设，推进冠豸山片区山前地带的整治工作。</w:t>
      </w:r>
      <w:r>
        <w:rPr>
          <w:rFonts w:eastAsia="仿宋_GB2312"/>
          <w:b/>
          <w:bCs/>
          <w:sz w:val="32"/>
          <w:szCs w:val="32"/>
        </w:rPr>
        <w:t>二是</w:t>
      </w:r>
      <w:r>
        <w:rPr>
          <w:rFonts w:eastAsia="仿宋_GB2312"/>
          <w:sz w:val="32"/>
          <w:szCs w:val="32"/>
        </w:rPr>
        <w:t>通过在我县北团镇实施松材线虫病防治性采伐，有效控制松材线虫病在我县传播扩散和蔓延。</w:t>
      </w:r>
      <w:r>
        <w:rPr>
          <w:rFonts w:hint="eastAsia" w:eastAsia="仿宋_GB2312"/>
          <w:sz w:val="32"/>
          <w:szCs w:val="32"/>
          <w:lang w:eastAsia="zh-CN"/>
        </w:rPr>
        <w:t>已</w:t>
      </w:r>
      <w:r>
        <w:rPr>
          <w:rFonts w:eastAsia="仿宋_GB2312"/>
          <w:sz w:val="32"/>
          <w:szCs w:val="32"/>
        </w:rPr>
        <w:t>完成松材线虫病防治性采伐</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865</w:t>
      </w:r>
      <w:r>
        <w:rPr>
          <w:rFonts w:eastAsia="仿宋_GB2312"/>
          <w:sz w:val="32"/>
          <w:szCs w:val="32"/>
        </w:rPr>
        <w:t>亩，实现提高森林质量和抵御病虫害能力，保护森林资源安全和国土生态安全。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黑体"/>
          <w:sz w:val="32"/>
          <w:szCs w:val="32"/>
        </w:rPr>
      </w:pPr>
      <w:r>
        <w:rPr>
          <w:rFonts w:eastAsia="黑体"/>
          <w:sz w:val="32"/>
          <w:szCs w:val="32"/>
        </w:rPr>
        <w:t>二、绩效分析与结论</w:t>
      </w:r>
    </w:p>
    <w:p>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472" w:firstLineChars="147"/>
        <w:textAlignment w:val="auto"/>
        <w:rPr>
          <w:rFonts w:hint="eastAsia" w:ascii="楷体_GB2312" w:eastAsia="楷体_GB2312"/>
          <w:b/>
          <w:sz w:val="32"/>
          <w:szCs w:val="32"/>
        </w:rPr>
      </w:pPr>
      <w:r>
        <w:rPr>
          <w:rFonts w:hint="eastAsia" w:ascii="楷体_GB2312" w:eastAsia="楷体_GB2312"/>
          <w:b/>
          <w:sz w:val="32"/>
          <w:szCs w:val="32"/>
        </w:rPr>
        <w:t>（一）绩效分析</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cs="仿宋_GB2312"/>
          <w:b w:val="0"/>
          <w:bCs w:val="0"/>
          <w:sz w:val="32"/>
          <w:szCs w:val="32"/>
          <w:lang w:val="en-US" w:eastAsia="zh-CN"/>
        </w:rPr>
      </w:pPr>
      <w:r>
        <w:rPr>
          <w:rFonts w:hint="eastAsia" w:ascii="仿宋_GB2312" w:hAnsi="仿宋" w:eastAsia="仿宋_GB2312" w:cs="仿宋_GB2312"/>
          <w:b w:val="0"/>
          <w:bCs w:val="0"/>
          <w:sz w:val="32"/>
          <w:szCs w:val="32"/>
          <w:lang w:eastAsia="zh-CN"/>
        </w:rPr>
        <w:t>本项目绩效自评得分</w:t>
      </w:r>
      <w:r>
        <w:rPr>
          <w:rFonts w:hint="default" w:ascii="Times New Roman" w:hAnsi="Times New Roman" w:eastAsia="仿宋_GB2312" w:cs="Times New Roman"/>
          <w:b w:val="0"/>
          <w:bCs w:val="0"/>
          <w:sz w:val="32"/>
          <w:szCs w:val="32"/>
          <w:lang w:val="en-US" w:eastAsia="zh-CN"/>
        </w:rPr>
        <w:t>100</w:t>
      </w:r>
      <w:r>
        <w:rPr>
          <w:rFonts w:hint="eastAsia" w:ascii="仿宋_GB2312" w:hAnsi="仿宋" w:eastAsia="仿宋_GB2312" w:cs="仿宋_GB2312"/>
          <w:b w:val="0"/>
          <w:bCs w:val="0"/>
          <w:sz w:val="32"/>
          <w:szCs w:val="32"/>
          <w:lang w:val="en-US" w:eastAsia="zh-CN"/>
        </w:rPr>
        <w:t>分，等级为优秀，设置绩效目标</w:t>
      </w:r>
      <w:r>
        <w:rPr>
          <w:rFonts w:hint="default" w:ascii="Times New Roman" w:hAnsi="Times New Roman" w:eastAsia="仿宋_GB2312" w:cs="Times New Roman"/>
          <w:b w:val="0"/>
          <w:bCs w:val="0"/>
          <w:sz w:val="32"/>
          <w:szCs w:val="32"/>
          <w:lang w:val="en-US" w:eastAsia="zh-CN"/>
        </w:rPr>
        <w:t>5</w:t>
      </w:r>
      <w:r>
        <w:rPr>
          <w:rFonts w:hint="eastAsia" w:ascii="仿宋_GB2312" w:hAnsi="仿宋" w:eastAsia="仿宋_GB2312" w:cs="仿宋_GB2312"/>
          <w:b w:val="0"/>
          <w:bCs w:val="0"/>
          <w:sz w:val="32"/>
          <w:szCs w:val="32"/>
          <w:lang w:val="en-US" w:eastAsia="zh-CN"/>
        </w:rPr>
        <w:t>个，实际完成</w:t>
      </w:r>
      <w:r>
        <w:rPr>
          <w:rFonts w:hint="default" w:ascii="Times New Roman" w:hAnsi="Times New Roman" w:eastAsia="仿宋_GB2312" w:cs="Times New Roman"/>
          <w:b w:val="0"/>
          <w:bCs w:val="0"/>
          <w:sz w:val="32"/>
          <w:szCs w:val="32"/>
          <w:lang w:val="en-US" w:eastAsia="zh-CN"/>
        </w:rPr>
        <w:t>6</w:t>
      </w:r>
      <w:r>
        <w:rPr>
          <w:rFonts w:hint="eastAsia" w:ascii="仿宋_GB2312" w:hAnsi="仿宋" w:eastAsia="仿宋_GB2312" w:cs="仿宋_GB2312"/>
          <w:b w:val="0"/>
          <w:bCs w:val="0"/>
          <w:sz w:val="32"/>
          <w:szCs w:val="32"/>
          <w:lang w:val="en-US" w:eastAsia="zh-CN"/>
        </w:rPr>
        <w:t>个，具体情况如下：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 w:eastAsia="仿宋_GB2312" w:cs="仿宋_GB2312"/>
          <w:b w:val="0"/>
          <w:bCs w:val="0"/>
          <w:sz w:val="32"/>
          <w:szCs w:val="32"/>
          <w:lang w:val="en-US" w:eastAsia="zh-CN"/>
        </w:rPr>
        <w:t>、数量指标。完成自然保护区开展建设和实施单位</w:t>
      </w:r>
      <w:r>
        <w:rPr>
          <w:rFonts w:hint="default" w:ascii="Times New Roman" w:hAnsi="Times New Roman" w:eastAsia="仿宋_GB2312" w:cs="Times New Roman"/>
          <w:b w:val="0"/>
          <w:bCs w:val="0"/>
          <w:sz w:val="32"/>
          <w:szCs w:val="32"/>
          <w:lang w:val="en-US" w:eastAsia="zh-CN"/>
        </w:rPr>
        <w:t>1</w:t>
      </w:r>
      <w:r>
        <w:rPr>
          <w:rFonts w:hint="eastAsia" w:ascii="仿宋_GB2312" w:hAnsi="仿宋" w:eastAsia="仿宋_GB2312" w:cs="仿宋_GB2312"/>
          <w:b w:val="0"/>
          <w:bCs w:val="0"/>
          <w:sz w:val="32"/>
          <w:szCs w:val="32"/>
          <w:lang w:val="en-US" w:eastAsia="zh-CN"/>
        </w:rPr>
        <w:t>个；松材线虫病防治性面积</w:t>
      </w:r>
      <w:r>
        <w:rPr>
          <w:rFonts w:hint="default" w:ascii="Times New Roman" w:hAnsi="Times New Roman" w:eastAsia="仿宋_GB2312" w:cs="Times New Roman"/>
          <w:b w:val="0"/>
          <w:bCs w:val="0"/>
          <w:sz w:val="32"/>
          <w:szCs w:val="32"/>
          <w:lang w:val="en-US" w:eastAsia="zh-CN"/>
        </w:rPr>
        <w:t>2865</w:t>
      </w:r>
      <w:r>
        <w:rPr>
          <w:rFonts w:hint="eastAsia" w:ascii="仿宋_GB2312" w:hAnsi="仿宋" w:eastAsia="仿宋_GB2312" w:cs="仿宋_GB2312"/>
          <w:b w:val="0"/>
          <w:bCs w:val="0"/>
          <w:sz w:val="32"/>
          <w:szCs w:val="32"/>
          <w:lang w:val="en-US" w:eastAsia="zh-CN"/>
        </w:rPr>
        <w:t>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eastAsia" w:ascii="仿宋_GB2312" w:hAnsi="仿宋" w:eastAsia="仿宋_GB2312" w:cs="仿宋_GB2312"/>
          <w:b w:val="0"/>
          <w:bCs w:val="0"/>
          <w:sz w:val="32"/>
          <w:szCs w:val="32"/>
          <w:lang w:val="en-US" w:eastAsia="zh-CN"/>
        </w:rPr>
        <w:t>、质量指标。森林无公害防治率</w:t>
      </w:r>
      <w:r>
        <w:rPr>
          <w:rFonts w:hint="default" w:ascii="Times New Roman" w:hAnsi="Times New Roman" w:eastAsia="仿宋_GB2312" w:cs="Times New Roman"/>
          <w:b w:val="0"/>
          <w:bCs w:val="0"/>
          <w:sz w:val="32"/>
          <w:szCs w:val="32"/>
          <w:lang w:val="en-US" w:eastAsia="zh-CN"/>
        </w:rPr>
        <w:t>100</w:t>
      </w:r>
      <w:r>
        <w:rPr>
          <w:rFonts w:hint="eastAsia" w:ascii="仿宋_GB2312" w:hAnsi="仿宋"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70" w:firstLineChars="147"/>
        <w:textAlignment w:val="auto"/>
        <w:rPr>
          <w:rFonts w:hint="eastAsia" w:ascii="仿宋_GB2312" w:hAnsi="仿宋" w:eastAsia="仿宋_GB2312" w:cs="仿宋_GB2312"/>
          <w:b w:val="0"/>
          <w:bCs w:val="0"/>
          <w:sz w:val="32"/>
          <w:szCs w:val="32"/>
          <w:lang w:val="en-US" w:eastAsia="zh-CN"/>
        </w:rPr>
      </w:pPr>
      <w:r>
        <w:rPr>
          <w:rFonts w:hint="eastAsia" w:ascii="仿宋_GB2312" w:hAnsi="仿宋" w:eastAsia="仿宋_GB2312" w:cs="仿宋_GB2312"/>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3</w:t>
      </w:r>
      <w:r>
        <w:rPr>
          <w:rFonts w:hint="eastAsia" w:ascii="仿宋_GB2312" w:hAnsi="仿宋" w:eastAsia="仿宋_GB2312" w:cs="仿宋_GB2312"/>
          <w:b w:val="0"/>
          <w:bCs w:val="0"/>
          <w:sz w:val="32"/>
          <w:szCs w:val="32"/>
          <w:lang w:val="en-US" w:eastAsia="zh-CN"/>
        </w:rPr>
        <w:t>、时效指标。松材线虫病疫情监测普查</w:t>
      </w:r>
      <w:r>
        <w:rPr>
          <w:rFonts w:hint="default" w:ascii="Times New Roman" w:hAnsi="Times New Roman" w:eastAsia="仿宋_GB2312" w:cs="Times New Roman"/>
          <w:b w:val="0"/>
          <w:bCs w:val="0"/>
          <w:sz w:val="32"/>
          <w:szCs w:val="32"/>
          <w:lang w:val="en-US" w:eastAsia="zh-CN"/>
        </w:rPr>
        <w:t>100</w:t>
      </w:r>
      <w:r>
        <w:rPr>
          <w:rFonts w:hint="eastAsia" w:ascii="仿宋_GB2312" w:hAnsi="仿宋"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4</w:t>
      </w:r>
      <w:r>
        <w:rPr>
          <w:rFonts w:hint="eastAsia" w:ascii="仿宋_GB2312" w:hAnsi="仿宋" w:eastAsia="仿宋_GB2312" w:cs="仿宋_GB2312"/>
          <w:b w:val="0"/>
          <w:bCs w:val="0"/>
          <w:sz w:val="32"/>
          <w:szCs w:val="32"/>
          <w:lang w:val="en-US" w:eastAsia="zh-CN"/>
        </w:rPr>
        <w:t>、生态效益指标 。森林火灾受害率小于</w:t>
      </w:r>
      <w:r>
        <w:rPr>
          <w:rFonts w:hint="default" w:ascii="Times New Roman" w:hAnsi="Times New Roman" w:eastAsia="仿宋_GB2312" w:cs="Times New Roman"/>
          <w:b w:val="0"/>
          <w:bCs w:val="0"/>
          <w:sz w:val="32"/>
          <w:szCs w:val="32"/>
          <w:lang w:val="en-US" w:eastAsia="zh-CN"/>
        </w:rPr>
        <w:t>0</w:t>
      </w:r>
      <w:r>
        <w:rPr>
          <w:rFonts w:hint="eastAsia" w:ascii="仿宋_GB2312" w:hAnsi="仿宋" w:eastAsia="仿宋_GB2312" w:cs="仿宋_GB2312"/>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8</w:t>
      </w:r>
      <w:r>
        <w:rPr>
          <w:rFonts w:hint="eastAsia" w:ascii="仿宋_GB2312" w:hAnsi="仿宋"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w:t>
      </w:r>
      <w:r>
        <w:rPr>
          <w:rFonts w:hint="eastAsia" w:eastAsia="仿宋_GB2312" w:cs="Times New Roman"/>
          <w:b w:val="0"/>
          <w:bCs w:val="0"/>
          <w:sz w:val="32"/>
          <w:szCs w:val="32"/>
          <w:lang w:val="en-US" w:eastAsia="zh-CN"/>
        </w:rPr>
        <w:t>、</w:t>
      </w:r>
      <w:r>
        <w:rPr>
          <w:rFonts w:hint="eastAsia" w:ascii="仿宋_GB2312" w:hAnsi="仿宋" w:eastAsia="仿宋_GB2312" w:cs="仿宋_GB2312"/>
          <w:b w:val="0"/>
          <w:bCs w:val="0"/>
          <w:sz w:val="32"/>
          <w:szCs w:val="32"/>
          <w:lang w:val="en-US" w:eastAsia="zh-CN"/>
        </w:rPr>
        <w:t>服务对象满意度指标达</w:t>
      </w:r>
      <w:r>
        <w:rPr>
          <w:rFonts w:hint="default" w:ascii="Times New Roman" w:hAnsi="Times New Roman" w:eastAsia="仿宋_GB2312" w:cs="Times New Roman"/>
          <w:b w:val="0"/>
          <w:bCs w:val="0"/>
          <w:sz w:val="32"/>
          <w:szCs w:val="32"/>
          <w:lang w:val="en-US" w:eastAsia="zh-CN"/>
        </w:rPr>
        <w:t>95</w:t>
      </w:r>
      <w:r>
        <w:rPr>
          <w:rFonts w:hint="eastAsia" w:ascii="仿宋_GB2312" w:hAnsi="仿宋"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147"/>
        <w:textAlignment w:val="auto"/>
        <w:rPr>
          <w:rFonts w:eastAsia="仿宋_GB2312"/>
          <w:b/>
          <w:bCs/>
          <w:sz w:val="32"/>
          <w:szCs w:val="32"/>
        </w:rPr>
      </w:pPr>
      <w:r>
        <w:rPr>
          <w:rFonts w:hint="eastAsia" w:ascii="楷体_GB2312" w:eastAsia="楷体_GB2312"/>
          <w:b/>
          <w:sz w:val="32"/>
          <w:szCs w:val="32"/>
        </w:rPr>
        <w:t>（二）绩效结论。</w:t>
      </w:r>
      <w:r>
        <w:rPr>
          <w:rFonts w:eastAsia="仿宋_GB2312"/>
          <w:sz w:val="32"/>
          <w:szCs w:val="32"/>
        </w:rPr>
        <w:t>综合绩效分析情况，评价等次为</w:t>
      </w:r>
      <w:r>
        <w:rPr>
          <w:rFonts w:hint="eastAsia" w:eastAsia="仿宋_GB2312"/>
          <w:sz w:val="32"/>
          <w:szCs w:val="32"/>
          <w:lang w:eastAsia="zh-CN"/>
        </w:rPr>
        <w:t>优</w:t>
      </w:r>
      <w:r>
        <w:rPr>
          <w:rFonts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黑体" w:hAnsi="黑体" w:eastAsia="黑体"/>
          <w:bCs/>
          <w:sz w:val="32"/>
          <w:szCs w:val="32"/>
        </w:rPr>
      </w:pPr>
      <w:r>
        <w:rPr>
          <w:rFonts w:ascii="黑体" w:hAnsi="黑体" w:eastAsia="黑体"/>
          <w:bCs/>
          <w:sz w:val="32"/>
          <w:szCs w:val="32"/>
        </w:rPr>
        <w:t>三、存在的问题及原因分析和有关建议</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eastAsia="仿宋_GB2312"/>
          <w:bCs/>
          <w:sz w:val="32"/>
          <w:szCs w:val="32"/>
        </w:rPr>
      </w:pPr>
      <w:r>
        <w:rPr>
          <w:rFonts w:hint="eastAsia" w:eastAsia="仿宋_GB2312"/>
          <w:bCs/>
          <w:sz w:val="32"/>
          <w:szCs w:val="32"/>
        </w:rPr>
        <w:t>（一）</w:t>
      </w:r>
      <w:r>
        <w:rPr>
          <w:rFonts w:eastAsia="仿宋_GB2312"/>
          <w:bCs/>
          <w:sz w:val="32"/>
          <w:szCs w:val="32"/>
        </w:rPr>
        <w:t>资金不足是制约松材线虫病等重大林业有害生物防控工作的主要因素，松材线虫病等重大林业有害生物防控工作是一项投入大和长期性的工作，建议上级加大林业有害生物防控资金的补助力度。</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eastAsia="仿宋_GB2312"/>
          <w:bCs/>
          <w:sz w:val="32"/>
          <w:szCs w:val="32"/>
        </w:rPr>
      </w:pPr>
      <w:r>
        <w:rPr>
          <w:rFonts w:hint="eastAsia" w:eastAsia="仿宋_GB2312"/>
          <w:bCs/>
          <w:sz w:val="32"/>
          <w:szCs w:val="32"/>
        </w:rPr>
        <w:t>（二）</w:t>
      </w:r>
      <w:r>
        <w:rPr>
          <w:rFonts w:eastAsia="仿宋_GB2312"/>
          <w:bCs/>
          <w:sz w:val="32"/>
          <w:szCs w:val="32"/>
        </w:rPr>
        <w:t>林权业主对森林病虫害防控意识淡薄，多数业主认为森林病虫害防控只是林业部门的职责，今后将加大宣传力度，让广大群众主动参与林业有害生物防控工作。</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pPr>
      <w:r>
        <w:rPr>
          <w:rFonts w:hint="eastAsia" w:eastAsia="仿宋_GB2312"/>
          <w:bCs/>
          <w:sz w:val="32"/>
          <w:szCs w:val="32"/>
        </w:rPr>
        <w:t>（三）</w:t>
      </w:r>
      <w:r>
        <w:rPr>
          <w:rFonts w:eastAsia="仿宋_GB2312"/>
          <w:bCs/>
          <w:sz w:val="32"/>
          <w:szCs w:val="32"/>
        </w:rPr>
        <w:t>因我县财政困难，项目实施后完成的项目结算款无法及时足额支付，造成项目承包单位拖欠工程队工人工资的不利社会影响。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MTIyZjFjNzgxYjA1ZDYwZGY2MTI5NGQwNTBlNjMifQ=="/>
  </w:docVars>
  <w:rsids>
    <w:rsidRoot w:val="00000000"/>
    <w:rsid w:val="321D5830"/>
    <w:rsid w:val="374E16BA"/>
    <w:rsid w:val="392C5B39"/>
    <w:rsid w:val="455D5EBB"/>
    <w:rsid w:val="5E6257F2"/>
    <w:rsid w:val="676E72A2"/>
    <w:rsid w:val="78D33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981</Words>
  <Characters>1023</Characters>
  <Lines>0</Lines>
  <Paragraphs>0</Paragraphs>
  <TotalTime>25</TotalTime>
  <ScaleCrop>false</ScaleCrop>
  <LinksUpToDate>false</LinksUpToDate>
  <CharactersWithSpaces>1027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2023-03-09T01:52:00Z</dcterms:created>
  <dc:creator>Administrator</dc:creator>
  <cp:lastModifiedBy>Administrator</cp:lastModifiedBy>
  <cp:lastPrinted>2023-03-20T07:16:48Z</cp:lastPrinted>
  <dcterms:modified xsi:type="dcterms:W3CDTF">2023-03-20T07:17:21Z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D40C2C82CA2040B2AA64C1293B9650E2</vt:lpwstr>
  </property>
</Properties>
</file>