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8"/>
          <w:szCs w:val="32"/>
        </w:rPr>
      </w:pPr>
      <w:r>
        <w:rPr>
          <w:rFonts w:hint="eastAsia" w:ascii="仿宋" w:hAnsi="仿宋" w:eastAsia="仿宋"/>
          <w:sz w:val="28"/>
          <w:szCs w:val="32"/>
        </w:rPr>
        <w:t>附件4</w:t>
      </w:r>
    </w:p>
    <w:p>
      <w:pPr>
        <w:rPr>
          <w:rFonts w:ascii="仿宋" w:hAnsi="仿宋" w:eastAsia="仿宋"/>
          <w:sz w:val="32"/>
          <w:szCs w:val="32"/>
        </w:rPr>
      </w:pPr>
    </w:p>
    <w:p>
      <w:pPr>
        <w:ind w:firstLine="420"/>
        <w:jc w:val="center"/>
        <w:rPr>
          <w:rFonts w:ascii="宋体" w:hAnsi="宋体" w:cs="仿宋"/>
          <w:b/>
          <w:sz w:val="44"/>
          <w:szCs w:val="44"/>
        </w:rPr>
      </w:pPr>
      <w:r>
        <w:rPr>
          <w:rFonts w:hint="eastAsia" w:ascii="宋体" w:hAnsi="宋体" w:cs="仿宋"/>
          <w:b/>
          <w:sz w:val="44"/>
          <w:szCs w:val="44"/>
        </w:rPr>
        <w:t>2023年度</w:t>
      </w:r>
      <w:r>
        <w:rPr>
          <w:rFonts w:ascii="宋体" w:hAnsi="宋体" w:eastAsia="宋体" w:cs="宋体"/>
          <w:b/>
          <w:sz w:val="44"/>
        </w:rPr>
        <w:t>县级预算项目绩效自评报告</w:t>
      </w:r>
    </w:p>
    <w:p>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113部门整体</w:t>
      </w:r>
      <w:r>
        <w:rPr>
          <w:rFonts w:hint="eastAsia" w:ascii="仿宋" w:hAnsi="仿宋" w:eastAsia="仿宋"/>
          <w:sz w:val="32"/>
          <w:szCs w:val="32"/>
        </w:rPr>
        <w:t>）</w:t>
      </w:r>
    </w:p>
    <w:p>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ind w:firstLine="643" w:firstLineChars="200"/>
        <w:rPr>
          <w:rFonts w:hint="eastAsia" w:ascii="仿宋" w:hAnsi="仿宋" w:eastAsia="仿宋"/>
          <w:b/>
          <w:sz w:val="32"/>
          <w:szCs w:val="32"/>
        </w:rPr>
      </w:pPr>
      <w:r>
        <w:rPr>
          <w:rFonts w:hint="eastAsia" w:ascii="仿宋" w:hAnsi="仿宋" w:eastAsia="仿宋"/>
          <w:b/>
          <w:sz w:val="32"/>
          <w:szCs w:val="32"/>
        </w:rPr>
        <w:t>（一）项目概况</w:t>
      </w:r>
    </w:p>
    <w:p>
      <w:pPr>
        <w:ind w:firstLine="640" w:firstLineChars="200"/>
        <w:rPr>
          <w:rFonts w:ascii="仿宋" w:hAnsi="仿宋" w:eastAsia="仿宋"/>
          <w:sz w:val="32"/>
          <w:szCs w:val="32"/>
        </w:rPr>
      </w:pPr>
      <w:r>
        <w:rPr>
          <w:rFonts w:ascii="Times New Roman" w:hAnsi="Times New Roman" w:eastAsia="仿宋_GB2312"/>
          <w:sz w:val="32"/>
          <w:szCs w:val="32"/>
        </w:rPr>
        <w:t>2023年以来，县统计局坚持以习近平新时代中国特色社会主义思想为指导，坚持以党的建设为统领，深入学习贯彻党的二十大和二十届二中全会精神，严格按照省委提出的“深学争优、敢为争先、实干争效”行动部署，紧紧围绕县委、县政府中心工作和上级统计部门工作部署，全面贯彻落实习近平总书记关于统计工作的重要讲话重要指示批示精神，以夯实统计基层基础为重点，以提高统计数据质量为中心，大力抓好干部队伍建设，全力提升统计服务水平</w:t>
      </w:r>
      <w:r>
        <w:rPr>
          <w:rFonts w:hint="eastAsia" w:ascii="Times New Roman" w:hAnsi="Times New Roman" w:eastAsia="仿宋_GB2312"/>
          <w:sz w:val="32"/>
          <w:szCs w:val="32"/>
          <w:lang w:eastAsia="zh-CN"/>
        </w:rPr>
        <w:t>。</w:t>
      </w:r>
      <w:r>
        <w:rPr>
          <w:rFonts w:ascii="仿宋" w:hAnsi="仿宋" w:eastAsia="仿宋" w:cs="仿宋"/>
          <w:sz w:val="32"/>
        </w:rPr>
        <w:t xml:space="preserve"> </w:t>
      </w:r>
    </w:p>
    <w:p>
      <w:pPr>
        <w:numPr>
          <w:ilvl w:val="0"/>
          <w:numId w:val="1"/>
        </w:numPr>
        <w:ind w:firstLine="643" w:firstLineChars="200"/>
        <w:rPr>
          <w:rFonts w:hint="eastAsia" w:ascii="仿宋" w:hAnsi="仿宋" w:eastAsia="仿宋"/>
          <w:b/>
          <w:sz w:val="32"/>
          <w:szCs w:val="32"/>
        </w:rPr>
      </w:pPr>
      <w:r>
        <w:rPr>
          <w:rFonts w:hint="eastAsia" w:ascii="仿宋" w:hAnsi="仿宋" w:eastAsia="仿宋"/>
          <w:b/>
          <w:sz w:val="32"/>
          <w:szCs w:val="32"/>
        </w:rPr>
        <w:t>主要成效</w:t>
      </w:r>
    </w:p>
    <w:p>
      <w:pPr>
        <w:spacing w:line="600" w:lineRule="exact"/>
        <w:rPr>
          <w:rFonts w:ascii="Times New Roman" w:hAnsi="Times New Roman" w:eastAsia="仿宋_GB2312"/>
          <w:sz w:val="32"/>
          <w:szCs w:val="32"/>
        </w:rPr>
      </w:pPr>
      <w:r>
        <w:rPr>
          <w:rFonts w:ascii="Times New Roman" w:hAnsi="Times New Roman" w:eastAsia="楷体_GB2312"/>
          <w:b/>
          <w:sz w:val="32"/>
          <w:szCs w:val="32"/>
        </w:rPr>
        <w:t>（一）强化政治引领，筑牢思想之基。</w:t>
      </w:r>
      <w:r>
        <w:rPr>
          <w:rFonts w:ascii="Times New Roman" w:hAnsi="Times New Roman" w:eastAsia="仿宋_GB2312"/>
          <w:b/>
          <w:sz w:val="32"/>
          <w:szCs w:val="32"/>
        </w:rPr>
        <w:t>一是</w:t>
      </w:r>
      <w:r>
        <w:rPr>
          <w:rFonts w:ascii="Times New Roman" w:hAnsi="Times New Roman" w:eastAsia="仿宋_GB2312"/>
          <w:sz w:val="32"/>
          <w:szCs w:val="32"/>
        </w:rPr>
        <w:t>加强理论武装。旗帜鲜明讲政治，把党的政治建设摆在首位，坚持“第一议题”，组织深入学习习近平新时代中国特色社会主义思想和习近平总书记最新重要讲话重要指示批示精神共15次。</w:t>
      </w:r>
      <w:r>
        <w:rPr>
          <w:rFonts w:ascii="Times New Roman" w:hAnsi="Times New Roman" w:eastAsia="仿宋_GB2312"/>
          <w:b/>
          <w:sz w:val="32"/>
          <w:szCs w:val="32"/>
        </w:rPr>
        <w:t>二是</w:t>
      </w:r>
      <w:r>
        <w:rPr>
          <w:rFonts w:ascii="Times New Roman" w:hAnsi="Times New Roman" w:eastAsia="仿宋_GB2312"/>
          <w:sz w:val="32"/>
          <w:szCs w:val="32"/>
        </w:rPr>
        <w:t>抓牢意识形态工作。认真落实意识形态工作责任制，切实加强网络安全管控能力，指定网络安全责任员加强对全局网络安全监督管理，定期对电脑进行漏洞扫描和病毒查杀，对发现的漏洞进行修复。加强对外网防火墙配置策略，采取监测、记录网络运行状态、网络安全时间的技术措施，按照规定留存相关的网络日志，筑牢网络意识形态安全防线。</w:t>
      </w:r>
      <w:r>
        <w:rPr>
          <w:rFonts w:ascii="Times New Roman" w:hAnsi="Times New Roman" w:eastAsia="仿宋_GB2312"/>
          <w:b/>
          <w:sz w:val="32"/>
          <w:szCs w:val="32"/>
        </w:rPr>
        <w:t>三是</w:t>
      </w:r>
      <w:r>
        <w:rPr>
          <w:rFonts w:ascii="Times New Roman" w:hAnsi="Times New Roman" w:eastAsia="仿宋_GB2312"/>
          <w:sz w:val="32"/>
          <w:szCs w:val="32"/>
        </w:rPr>
        <w:t>加强意识形态阵地管理。认真落实重大主题宣传任务，充分利用单位宣传栏、微信工作群等载体开展学习雷锋精神、防灾减灾、征兵等主题宣传，牢牢把握正确舆论导向，做好网上正面宣传和舆论引导，弘扬主旋律、传播正能量，并严格落实信息发布“三审三校”工作制度，建立审核工作台账。2023年，在省级统计网站上发布信息共</w:t>
      </w:r>
      <w:r>
        <w:rPr>
          <w:rFonts w:hint="eastAsia" w:ascii="Times New Roman" w:hAnsi="Times New Roman" w:eastAsia="仿宋_GB2312"/>
          <w:sz w:val="32"/>
          <w:szCs w:val="32"/>
        </w:rPr>
        <w:t>29</w:t>
      </w:r>
      <w:r>
        <w:rPr>
          <w:rFonts w:ascii="Times New Roman" w:hAnsi="Times New Roman" w:eastAsia="仿宋_GB2312"/>
          <w:sz w:val="32"/>
          <w:szCs w:val="32"/>
        </w:rPr>
        <w:t>条。立足职能职责，加强统计宣传工作。自今年4月份起在连城县融媒体中心微信公众号推出“统计周末微培训”栏目，利用周末时间为领导干部、社会公众普及统计基础知识。培训以 “短、精、新”特点，吸引读者，取得良好社会反响，进一步营造了社会公众认知统计、了解统计、支持统计良好的统计生态。</w:t>
      </w:r>
    </w:p>
    <w:p>
      <w:pPr>
        <w:spacing w:line="600" w:lineRule="exact"/>
        <w:ind w:firstLine="643" w:firstLineChars="200"/>
        <w:rPr>
          <w:rFonts w:ascii="Times New Roman" w:hAnsi="Times New Roman" w:eastAsia="仿宋_GB2312"/>
          <w:sz w:val="32"/>
          <w:szCs w:val="32"/>
        </w:rPr>
      </w:pPr>
      <w:r>
        <w:rPr>
          <w:rFonts w:ascii="Times New Roman" w:hAnsi="Times New Roman" w:eastAsia="楷体_GB2312"/>
          <w:b/>
          <w:bCs/>
          <w:sz w:val="32"/>
          <w:szCs w:val="32"/>
        </w:rPr>
        <w:t>（二）立足职能职责，扎实做好各项工作。</w:t>
      </w:r>
      <w:r>
        <w:rPr>
          <w:rFonts w:ascii="Times New Roman" w:hAnsi="Times New Roman" w:eastAsia="仿宋_GB2312"/>
          <w:b/>
          <w:sz w:val="32"/>
          <w:szCs w:val="32"/>
        </w:rPr>
        <w:t>一是</w:t>
      </w:r>
      <w:r>
        <w:rPr>
          <w:rFonts w:ascii="Times New Roman" w:hAnsi="Times New Roman" w:eastAsia="仿宋_GB2312"/>
          <w:sz w:val="32"/>
          <w:szCs w:val="32"/>
        </w:rPr>
        <w:t>抓建章立制，完善统计工作机制。认真落实省、市统计工作要求，制定印发《连城县人民政府关于推进统计工作高质量发展的通知》（连政办〔2023〕33号）《连城县统计局关于印发连城县加强乡（镇）统计工作管理办法（暂行）》的通知》（连统〔2023〕31号），以制度建设进一步加强我县统计工作。</w:t>
      </w:r>
      <w:r>
        <w:rPr>
          <w:rFonts w:ascii="Times New Roman" w:hAnsi="Times New Roman" w:eastAsia="仿宋_GB2312"/>
          <w:b/>
          <w:spacing w:val="23"/>
          <w:sz w:val="32"/>
          <w:szCs w:val="32"/>
          <w:shd w:val="clear" w:color="auto" w:fill="FFFFFF"/>
        </w:rPr>
        <w:t>二是</w:t>
      </w:r>
      <w:r>
        <w:rPr>
          <w:rFonts w:ascii="Times New Roman" w:hAnsi="Times New Roman" w:eastAsia="仿宋_GB2312"/>
          <w:spacing w:val="23"/>
          <w:sz w:val="32"/>
          <w:szCs w:val="32"/>
          <w:shd w:val="clear" w:color="auto" w:fill="FFFFFF"/>
        </w:rPr>
        <w:t>深入开展统计造假专项治理行动</w:t>
      </w:r>
      <w:r>
        <w:rPr>
          <w:rFonts w:ascii="Times New Roman" w:hAnsi="Times New Roman" w:eastAsia="仿宋_GB2312"/>
          <w:sz w:val="32"/>
          <w:szCs w:val="32"/>
        </w:rPr>
        <w:t>。第一时间将国家、省、市统计局统计造假屡禁难绝专题部署会议精神向县委、县政府主要领导汇报。县委常委会、县政府常务会专题传达学习了国家、省、市统计局统计造假屡禁难绝专题部署会议精神，及时成立统计造假屡禁难绝专项治理行动工作领导小组，制定实施方案，细化工作任务，压实责任。聚焦重点，深入自查自纠。严格按照《福建省统计局 国家统计局福建调查总队关于转发统计源头数据质量核查办法的通知》（闽统〔2023〕25号）及市统计局下发的各专业自查自纠工作方案，聚焦源头数据质量问题，结合专项数据核查工作，采取召开专题布置会、平台核查、实地走访、电话询问、乡（镇）反馈、企业自查等多种方式相结合全面开展自查自纠</w:t>
      </w:r>
      <w:r>
        <w:rPr>
          <w:rFonts w:ascii="Times New Roman" w:hAnsi="Times New Roman" w:eastAsia="仿宋_GB2312"/>
          <w:kern w:val="0"/>
          <w:sz w:val="32"/>
          <w:szCs w:val="32"/>
        </w:rPr>
        <w:t>，</w:t>
      </w:r>
      <w:r>
        <w:rPr>
          <w:rFonts w:ascii="Times New Roman" w:hAnsi="Times New Roman" w:eastAsia="仿宋_GB2312"/>
          <w:sz w:val="32"/>
          <w:szCs w:val="32"/>
        </w:rPr>
        <w:t>切实增强防治统计造假的政治自觉、思想自觉、行动自觉。</w:t>
      </w:r>
    </w:p>
    <w:p>
      <w:pPr>
        <w:spacing w:line="600" w:lineRule="exact"/>
        <w:ind w:firstLine="643" w:firstLineChars="200"/>
        <w:rPr>
          <w:rFonts w:ascii="Times New Roman" w:hAnsi="Times New Roman" w:eastAsia="仿宋_GB2312"/>
          <w:sz w:val="32"/>
          <w:szCs w:val="32"/>
          <w:highlight w:val="yellow"/>
        </w:rPr>
      </w:pPr>
      <w:r>
        <w:rPr>
          <w:rFonts w:hint="eastAsia" w:ascii="楷体_GB2312" w:hAnsi="楷体_GB2312" w:eastAsia="楷体_GB2312" w:cs="楷体_GB2312"/>
          <w:b/>
          <w:sz w:val="32"/>
          <w:szCs w:val="32"/>
        </w:rPr>
        <w:t>（三）第五次经济普查工作有序开展。</w:t>
      </w:r>
      <w:r>
        <w:rPr>
          <w:rFonts w:ascii="Times New Roman" w:hAnsi="Times New Roman" w:eastAsia="仿宋_GB2312"/>
          <w:b/>
          <w:sz w:val="32"/>
          <w:szCs w:val="32"/>
        </w:rPr>
        <w:t>一是</w:t>
      </w:r>
      <w:r>
        <w:rPr>
          <w:rFonts w:ascii="Times New Roman" w:hAnsi="Times New Roman" w:eastAsia="仿宋_GB2312"/>
          <w:bCs/>
          <w:sz w:val="32"/>
          <w:szCs w:val="32"/>
        </w:rPr>
        <w:t>稳步推进“两员”选聘、培训、普查区划分、单位清查工作。</w:t>
      </w:r>
      <w:r>
        <w:rPr>
          <w:rFonts w:ascii="Times New Roman" w:hAnsi="Times New Roman" w:eastAsia="仿宋_GB2312"/>
          <w:sz w:val="32"/>
          <w:szCs w:val="32"/>
        </w:rPr>
        <w:t>全县聘请或商调普查“两员”952人。县经普办共开展18场单位清查培训，分别对乡（镇）及园区干部、各乡（镇）“两员”进行单位清查培训。地毯式开展清查摸底。全县共摸排出正常填表法人和产业活动单位7167家，比四经普增加1543家，增长27.4%；个体户46821户，户数比四经普增长24%；个体户有证率49.2%；个体户从业人员数114288人；个体户户均从业人数2.4人。</w:t>
      </w:r>
      <w:r>
        <w:rPr>
          <w:rFonts w:ascii="Times New Roman" w:hAnsi="Times New Roman" w:eastAsia="仿宋_GB2312"/>
          <w:b/>
          <w:sz w:val="32"/>
          <w:szCs w:val="32"/>
        </w:rPr>
        <w:t>二是</w:t>
      </w:r>
      <w:r>
        <w:rPr>
          <w:rFonts w:hint="eastAsia" w:ascii="仿宋_GB2312" w:hAnsi="仿宋_GB2312" w:eastAsia="仿宋_GB2312" w:cs="仿宋_GB2312"/>
          <w:bCs/>
          <w:sz w:val="32"/>
          <w:szCs w:val="32"/>
        </w:rPr>
        <w:t>全方位“五经普”宣传，营造浓厚氛围。</w:t>
      </w:r>
      <w:r>
        <w:rPr>
          <w:rFonts w:ascii="Times New Roman" w:hAnsi="Times New Roman" w:eastAsia="仿宋_GB2312"/>
          <w:sz w:val="32"/>
          <w:szCs w:val="32"/>
        </w:rPr>
        <w:t>在朋友圈广告宣传，县城、乡镇中心LED屏幕播放经普视频、滚动宣传标语等，紧盯重点部位和人员密集场所，真正达到点面结合，以点带面的宣传效果。</w:t>
      </w:r>
    </w:p>
    <w:p>
      <w:pPr>
        <w:tabs>
          <w:tab w:val="left" w:pos="1440"/>
        </w:tabs>
        <w:overflowPunct w:val="0"/>
        <w:adjustRightInd w:val="0"/>
        <w:snapToGrid w:val="0"/>
        <w:spacing w:line="600" w:lineRule="exact"/>
        <w:ind w:firstLine="643" w:firstLineChars="200"/>
        <w:rPr>
          <w:rFonts w:ascii="仿宋" w:hAnsi="仿宋" w:eastAsia="仿宋"/>
          <w:sz w:val="32"/>
          <w:szCs w:val="32"/>
        </w:rPr>
      </w:pPr>
      <w:r>
        <w:rPr>
          <w:rFonts w:ascii="Times New Roman" w:hAnsi="Times New Roman" w:eastAsia="楷体_GB2312"/>
          <w:b/>
          <w:sz w:val="32"/>
          <w:szCs w:val="32"/>
        </w:rPr>
        <w:t>（四）</w:t>
      </w:r>
      <w:r>
        <w:rPr>
          <w:rFonts w:ascii="Times New Roman" w:hAnsi="Times New Roman" w:eastAsia="楷体_GB2312"/>
          <w:b/>
          <w:bCs/>
          <w:sz w:val="32"/>
          <w:szCs w:val="32"/>
        </w:rPr>
        <w:t>强化党建引领</w:t>
      </w:r>
      <w:r>
        <w:rPr>
          <w:rFonts w:ascii="Times New Roman" w:hAnsi="Times New Roman" w:eastAsia="楷体_GB2312"/>
          <w:b/>
          <w:sz w:val="32"/>
          <w:szCs w:val="32"/>
        </w:rPr>
        <w:t>，提升统计效能</w:t>
      </w:r>
      <w:r>
        <w:rPr>
          <w:rFonts w:ascii="Times New Roman" w:hAnsi="Times New Roman" w:eastAsia="楷体_GB2312"/>
          <w:sz w:val="32"/>
          <w:szCs w:val="32"/>
        </w:rPr>
        <w:t>。</w:t>
      </w:r>
      <w:r>
        <w:rPr>
          <w:rFonts w:ascii="Times New Roman" w:hAnsi="Times New Roman" w:eastAsia="仿宋_GB2312"/>
          <w:b/>
          <w:sz w:val="32"/>
          <w:szCs w:val="32"/>
        </w:rPr>
        <w:t>一是</w:t>
      </w:r>
      <w:r>
        <w:rPr>
          <w:rFonts w:ascii="Times New Roman" w:hAnsi="Times New Roman" w:eastAsia="仿宋_GB2312"/>
          <w:sz w:val="32"/>
          <w:szCs w:val="32"/>
        </w:rPr>
        <w:t>局党组切实担负起全面从严治党主体责任，发挥把方向、管大局、保落实的领导作用，强化党建引领，持续深化 “数海有为我争先”统计特色党建品牌创建，制定《2023年“数海有为我争先”党建品牌创建计划》，</w:t>
      </w:r>
      <w:r>
        <w:rPr>
          <w:rFonts w:ascii="Times New Roman" w:hAnsi="Times New Roman" w:eastAsia="仿宋_GB2312"/>
          <w:sz w:val="32"/>
          <w:szCs w:val="32"/>
          <w:shd w:val="clear" w:color="auto" w:fill="FFFFFF"/>
        </w:rPr>
        <w:t>立足2023年统计工作实际，通过11项</w:t>
      </w:r>
      <w:r>
        <w:rPr>
          <w:rFonts w:ascii="Times New Roman" w:hAnsi="Times New Roman" w:eastAsia="仿宋_GB2312"/>
          <w:bCs/>
          <w:kern w:val="36"/>
          <w:sz w:val="32"/>
          <w:szCs w:val="32"/>
        </w:rPr>
        <w:t>创建活动，</w:t>
      </w:r>
      <w:r>
        <w:rPr>
          <w:rFonts w:ascii="Times New Roman" w:hAnsi="Times New Roman" w:eastAsia="仿宋_GB2312"/>
          <w:sz w:val="32"/>
          <w:szCs w:val="32"/>
          <w:shd w:val="clear" w:color="auto" w:fill="FFFFFF"/>
        </w:rPr>
        <w:t>推动党建与业务工作深度融合，把做到“两个维护”体现在习近平总书记关于统计工作重要讲话重要指示批示精神中，确保党的理论和路线方针在统计工作中落细落实。</w:t>
      </w:r>
      <w:r>
        <w:rPr>
          <w:rFonts w:ascii="Times New Roman" w:hAnsi="Times New Roman" w:eastAsia="仿宋_GB2312"/>
          <w:b/>
          <w:sz w:val="32"/>
          <w:szCs w:val="32"/>
        </w:rPr>
        <w:t>二是</w:t>
      </w:r>
      <w:r>
        <w:rPr>
          <w:rFonts w:ascii="Times New Roman" w:hAnsi="Times New Roman" w:eastAsia="仿宋_GB2312"/>
          <w:sz w:val="32"/>
          <w:szCs w:val="32"/>
          <w:shd w:val="clear" w:color="auto" w:fill="FFFFFF"/>
        </w:rPr>
        <w:t>加强建章立制，</w:t>
      </w:r>
      <w:r>
        <w:rPr>
          <w:rFonts w:ascii="Times New Roman" w:hAnsi="Times New Roman" w:eastAsia="仿宋_GB2312"/>
          <w:sz w:val="32"/>
          <w:szCs w:val="32"/>
        </w:rPr>
        <w:t>深化廉政风险防控。</w:t>
      </w:r>
      <w:r>
        <w:rPr>
          <w:rFonts w:ascii="Times New Roman" w:hAnsi="Times New Roman" w:eastAsia="仿宋_GB2312"/>
          <w:bCs/>
          <w:kern w:val="36"/>
          <w:sz w:val="32"/>
          <w:szCs w:val="32"/>
        </w:rPr>
        <w:t>及时</w:t>
      </w:r>
      <w:r>
        <w:rPr>
          <w:rFonts w:ascii="Times New Roman" w:hAnsi="Times New Roman" w:eastAsia="仿宋_GB2312"/>
          <w:sz w:val="32"/>
          <w:szCs w:val="32"/>
        </w:rPr>
        <w:t>成立</w:t>
      </w:r>
      <w:r>
        <w:rPr>
          <w:rFonts w:ascii="Times New Roman" w:hAnsi="Times New Roman" w:eastAsia="仿宋_GB2312"/>
          <w:bCs/>
          <w:kern w:val="36"/>
          <w:sz w:val="32"/>
          <w:szCs w:val="32"/>
        </w:rPr>
        <w:t>规范权力运行工作领导小组，制定我局《</w:t>
      </w:r>
      <w:r>
        <w:rPr>
          <w:rFonts w:ascii="Times New Roman" w:hAnsi="Times New Roman" w:eastAsia="仿宋_GB2312"/>
          <w:sz w:val="32"/>
          <w:szCs w:val="32"/>
        </w:rPr>
        <w:t>关于开展规范权力运行工作的实施方案》，梳理局权责事项清单共46项；梳理局党组权责事项清单8项，制定《连城县统计局廉政风险防控手册》，排查廉政风险点88项，制定防控措施121项，进一步厘清职权和责任，全面实行权力运行清单化管理制度。</w:t>
      </w:r>
      <w:bookmarkStart w:id="0" w:name="_GoBack"/>
      <w:bookmarkEnd w:id="0"/>
    </w:p>
    <w:p>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100分，等级为优，设置绩效目标32个，实际完成32个，具体情况如下：</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(一) 一般性支出情况</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1、一般性支出情况</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1)“三公”经费控制率</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2)“三公”经费违规使用次数</w:t>
      </w:r>
      <w:r>
        <w:rPr>
          <w:rFonts w:ascii="仿宋" w:hAnsi="仿宋" w:eastAsia="仿宋" w:cs="仿宋"/>
          <w:sz w:val="32"/>
        </w:rPr>
        <w:t>(次)，目标值0，完成值0，分值2，得分2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3)会议费、差旅费超标准使用次数</w:t>
      </w:r>
      <w:r>
        <w:rPr>
          <w:rFonts w:ascii="仿宋" w:hAnsi="仿宋" w:eastAsia="仿宋" w:cs="仿宋"/>
          <w:sz w:val="32"/>
        </w:rPr>
        <w:t>(次)，目标值0，完成值0，分值2，得分2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(三) 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1)资金使用率</w:t>
      </w:r>
      <w:r>
        <w:rPr>
          <w:rFonts w:ascii="仿宋_GB2312" w:hAnsi="仿宋_GB2312" w:eastAsia="仿宋_GB2312" w:cs="仿宋_GB2312"/>
          <w:sz w:val="32"/>
        </w:rPr>
        <w:cr/>
      </w:r>
      <w:r>
        <w:rPr>
          <w:rFonts w:ascii="仿宋" w:hAnsi="仿宋" w:eastAsia="仿宋" w:cs="仿宋"/>
          <w:sz w:val="32"/>
        </w:rPr>
        <w:t>(%)，目标值80，完成值70，分值8，得分8</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(二) 产出指标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1)编发《连城统计月报》期数</w:t>
      </w:r>
      <w:r>
        <w:rPr>
          <w:rFonts w:ascii="仿宋_GB2312" w:hAnsi="仿宋_GB2312" w:eastAsia="仿宋_GB2312" w:cs="仿宋_GB2312"/>
          <w:sz w:val="32"/>
        </w:rPr>
        <w:cr/>
      </w:r>
      <w:r>
        <w:rPr>
          <w:rFonts w:ascii="仿宋" w:hAnsi="仿宋" w:eastAsia="仿宋" w:cs="仿宋"/>
          <w:sz w:val="32"/>
        </w:rPr>
        <w:t>(期)，目标值11，完成值12，分值2，得分2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2)出版或编印《统计年鉴》</w:t>
      </w:r>
      <w:r>
        <w:rPr>
          <w:rFonts w:ascii="仿宋_GB2312" w:hAnsi="仿宋_GB2312" w:eastAsia="仿宋_GB2312" w:cs="仿宋_GB2312"/>
          <w:sz w:val="32"/>
        </w:rPr>
        <w:cr/>
      </w:r>
      <w:r>
        <w:rPr>
          <w:rFonts w:ascii="仿宋" w:hAnsi="仿宋" w:eastAsia="仿宋" w:cs="仿宋"/>
          <w:sz w:val="32"/>
        </w:rPr>
        <w:t>(种)，目标值1，完成值1，分值2，得分2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3)撰写统计分析篇数</w:t>
      </w:r>
      <w:r>
        <w:rPr>
          <w:rFonts w:ascii="仿宋_GB2312" w:hAnsi="仿宋_GB2312" w:eastAsia="仿宋_GB2312" w:cs="仿宋_GB2312"/>
          <w:sz w:val="32"/>
        </w:rPr>
        <w:cr/>
      </w:r>
      <w:r>
        <w:rPr>
          <w:rFonts w:ascii="仿宋" w:hAnsi="仿宋" w:eastAsia="仿宋" w:cs="仿宋"/>
          <w:sz w:val="32"/>
        </w:rPr>
        <w:t>(篇)，目标值50，完成值52，分值2，得分2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4)统计监督检查次数</w:t>
      </w:r>
      <w:r>
        <w:rPr>
          <w:rFonts w:ascii="仿宋_GB2312" w:hAnsi="仿宋_GB2312" w:eastAsia="仿宋_GB2312" w:cs="仿宋_GB2312"/>
          <w:sz w:val="32"/>
        </w:rPr>
        <w:cr/>
      </w:r>
      <w:r>
        <w:rPr>
          <w:rFonts w:ascii="仿宋" w:hAnsi="仿宋" w:eastAsia="仿宋" w:cs="仿宋"/>
          <w:sz w:val="32"/>
        </w:rPr>
        <w:t>(批次)，目标值1，完成值2，分值2，得分2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5)统计业务培训人数</w:t>
      </w:r>
      <w:r>
        <w:rPr>
          <w:rFonts w:ascii="仿宋_GB2312" w:hAnsi="仿宋_GB2312" w:eastAsia="仿宋_GB2312" w:cs="仿宋_GB2312"/>
          <w:sz w:val="32"/>
        </w:rPr>
        <w:cr/>
      </w:r>
      <w:r>
        <w:rPr>
          <w:rFonts w:ascii="仿宋" w:hAnsi="仿宋" w:eastAsia="仿宋" w:cs="仿宋"/>
          <w:sz w:val="32"/>
        </w:rPr>
        <w:t>(人)，目标值700，完成值1096，分值2，得分2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1)发表、批示数</w:t>
      </w:r>
      <w:r>
        <w:rPr>
          <w:rFonts w:ascii="仿宋" w:hAnsi="仿宋" w:eastAsia="仿宋" w:cs="仿宋"/>
          <w:sz w:val="32"/>
        </w:rPr>
        <w:t>(篇)，目标值3，完成值7，分值2，得分2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2)省、市、县委领导批示件及县委相关会议定事项办理成效</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3)紧急信息按时报告率</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4)电子政务工作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5)县人大相关工作落实情况</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6)县政协相关工作落实情况</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7)党建工作成效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8)意识形态工作任务成效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9)网络舆情应对与处置成效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10)保密工作落实情况</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11)“平安单位”创建工作成效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12)精准脱贫成效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13)双拥工作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14)文明创建工作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15)财政资金绩效管理工作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16)清理拖欠民营企业中小企业账款工作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17)依法行政</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18)法制宣传教育工作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19)争取项目资金</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20)市队县绩效指标完成成效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1)联网直接上报及时率</w:t>
      </w:r>
      <w:r>
        <w:rPr>
          <w:rFonts w:ascii="仿宋" w:hAnsi="仿宋" w:eastAsia="仿宋" w:cs="仿宋"/>
          <w:sz w:val="32"/>
        </w:rPr>
        <w:t>(%)，目标值95，完成值100，分值2，得分2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(四) 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1)推进统计法治建设，宣传资料发放受益人数</w:t>
      </w:r>
      <w:r>
        <w:rPr>
          <w:rFonts w:ascii="仿宋_GB2312" w:hAnsi="仿宋_GB2312" w:eastAsia="仿宋_GB2312" w:cs="仿宋_GB2312"/>
          <w:sz w:val="32"/>
        </w:rPr>
        <w:cr/>
      </w:r>
      <w:r>
        <w:rPr>
          <w:rFonts w:ascii="仿宋" w:hAnsi="仿宋" w:eastAsia="仿宋" w:cs="仿宋"/>
          <w:sz w:val="32"/>
        </w:rPr>
        <w:t>(人)，目标值700，完成值1500，分值30，得分30</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(五) 满意度指标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1)服务对象对统计局业务的满意度</w:t>
      </w:r>
      <w:r>
        <w:rPr>
          <w:rFonts w:ascii="仿宋_GB2312" w:hAnsi="仿宋_GB2312" w:eastAsia="仿宋_GB2312" w:cs="仿宋_GB2312"/>
          <w:sz w:val="32"/>
        </w:rPr>
        <w:cr/>
      </w:r>
      <w:r>
        <w:rPr>
          <w:rFonts w:ascii="仿宋" w:hAnsi="仿宋" w:eastAsia="仿宋" w:cs="仿宋"/>
          <w:sz w:val="32"/>
        </w:rPr>
        <w:t>(%)，目标值95，完成值100，分值10，得分10</w:t>
      </w:r>
      <w:r>
        <w:rPr>
          <w:rFonts w:hint="eastAsia" w:ascii="仿宋" w:hAnsi="仿宋" w:eastAsia="仿宋"/>
          <w:sz w:val="32"/>
          <w:szCs w:val="32"/>
        </w:rPr>
        <w:t>。</w:t>
      </w:r>
    </w:p>
    <w:p>
      <w:pPr>
        <w:ind w:left="840" w:firstLine="42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153"/>
        <w:tab w:val="right" w:pos="8306"/>
      </w:tabs>
      <w:jc w:val="center"/>
    </w:pPr>
    <w:r>
      <w:fldChar w:fldCharType="begin"/>
    </w:r>
    <w:r>
      <w:instrText xml:space="preserve"> PAGE   \* MERGEFORMAT </w:instrText>
    </w:r>
    <w:r>
      <w:fldChar w:fldCharType="separate"/>
    </w:r>
    <w:r>
      <w:rPr>
        <w:lang w:val="zh-CN"/>
      </w:rPr>
      <w:t>1</w:t>
    </w:r>
    <w:r>
      <w:rPr>
        <w:lang w:val="zh-CN"/>
      </w:rPr>
      <w:fldChar w:fldCharType="end"/>
    </w:r>
  </w:p>
  <w:p>
    <w:pPr>
      <w:pStyle w:val="2"/>
      <w:tabs>
        <w:tab w:val="center" w:pos="4153"/>
        <w:tab w:val="right" w:pos="8306"/>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3821DE"/>
    <w:multiLevelType w:val="singleLevel"/>
    <w:tmpl w:val="553821D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iMWEwNmExOThmYWU2OGRhYjAzZTQwZGIzOGVlMjQifQ=="/>
  </w:docVars>
  <w:rsids>
    <w:rsidRoot w:val="71776F75"/>
    <w:rsid w:val="000F778B"/>
    <w:rsid w:val="00756FEA"/>
    <w:rsid w:val="00D463C2"/>
    <w:rsid w:val="073870C4"/>
    <w:rsid w:val="07FB4740"/>
    <w:rsid w:val="2FB91F6D"/>
    <w:rsid w:val="35F966DB"/>
    <w:rsid w:val="40D05D8A"/>
    <w:rsid w:val="412D21C1"/>
    <w:rsid w:val="43790164"/>
    <w:rsid w:val="45632027"/>
    <w:rsid w:val="4E2B6047"/>
    <w:rsid w:val="4F013EC3"/>
    <w:rsid w:val="58C90448"/>
    <w:rsid w:val="71183EF6"/>
    <w:rsid w:val="71776F75"/>
    <w:rsid w:val="77715EB5"/>
    <w:rsid w:val="7FF4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snapToGrid w:val="0"/>
      <w:jc w:val="left"/>
    </w:pPr>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6">
    <w:name w:val="page number"/>
    <w:basedOn w:val="5"/>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1254</Words>
  <Characters>1458</Characters>
  <Lines>5</Lines>
  <Paragraphs>1</Paragraphs>
  <TotalTime>0</TotalTime>
  <ScaleCrop>false</ScaleCrop>
  <LinksUpToDate>false</LinksUpToDate>
  <CharactersWithSpaces>1464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2022-03-03T08:53:00Z</dcterms:created>
  <dc:creator>86176</dc:creator>
  <cp:lastModifiedBy>Administrator</cp:lastModifiedBy>
  <dcterms:modified xsi:type="dcterms:W3CDTF">2025-03-17T08:43:33Z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FD6160588A444480BAC67B81FDFE5ABA</vt:lpwstr>
  </property>
  <property fmtid="{D5CDD505-2E9C-101B-9397-08002B2CF9AE}" pid="4" name="KSOTemplateDocerSaveRecord">
    <vt:lpwstr>eyJoZGlkIjoiYTZhNWIyZmZiNzMxN2Q2MWQ3OWRiYmUxM2NlMDlkY2YiLCJ1c2VySWQiOiIzMjQwMDQ1MTgifQ==</vt:lpwstr>
  </property>
</Properties>
</file>