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3C295">
      <w:pPr>
        <w:rPr>
          <w:rFonts w:hint="default" w:ascii="仿宋" w:hAnsi="仿宋" w:eastAsia="仿宋"/>
          <w:sz w:val="32"/>
          <w:szCs w:val="32"/>
        </w:rPr>
      </w:pPr>
    </w:p>
    <w:p w14:paraId="59148D10">
      <w:pPr>
        <w:ind w:firstLine="420"/>
        <w:jc w:val="center"/>
        <w:rPr>
          <w:rFonts w:hint="default" w:ascii="宋体" w:hAnsi="宋体" w:cs="仿宋"/>
          <w:b/>
          <w:sz w:val="44"/>
          <w:szCs w:val="44"/>
        </w:rPr>
      </w:pPr>
      <w:r>
        <w:rPr>
          <w:rFonts w:hint="eastAsia" w:ascii="宋体" w:hAnsi="宋体" w:cs="仿宋"/>
          <w:b/>
          <w:sz w:val="44"/>
          <w:szCs w:val="44"/>
          <w:lang w:val="en-US" w:eastAsia="zh-CN"/>
        </w:rPr>
        <w:t>部门整体</w:t>
      </w:r>
      <w:r>
        <w:rPr>
          <w:rFonts w:hint="eastAsia" w:ascii="宋体" w:hAnsi="宋体" w:cs="仿宋"/>
          <w:b/>
          <w:sz w:val="44"/>
          <w:szCs w:val="44"/>
        </w:rPr>
        <w:t>绩效自评报告</w:t>
      </w:r>
    </w:p>
    <w:p w14:paraId="27F05D67">
      <w:pPr>
        <w:ind w:firstLine="640" w:firstLineChars="200"/>
        <w:rPr>
          <w:rFonts w:hint="default" w:ascii="仿宋" w:hAnsi="仿宋" w:eastAsia="仿宋"/>
          <w:sz w:val="32"/>
          <w:szCs w:val="32"/>
        </w:rPr>
      </w:pPr>
    </w:p>
    <w:p w14:paraId="630689E4">
      <w:pPr>
        <w:ind w:firstLine="640" w:firstLineChars="200"/>
        <w:jc w:val="left"/>
        <w:rPr>
          <w:rFonts w:hint="default"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为提高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119部门整体</w:t>
      </w:r>
      <w:r>
        <w:rPr>
          <w:rFonts w:ascii="仿宋" w:hAnsi="仿宋" w:eastAsia="仿宋" w:cs="仿宋"/>
          <w:sz w:val="32"/>
        </w:rPr>
        <w:t>部门整体</w:t>
      </w:r>
      <w:r>
        <w:rPr>
          <w:rFonts w:hint="eastAsia" w:ascii="仿宋" w:hAnsi="仿宋" w:eastAsia="仿宋" w:cs="仿宋"/>
          <w:sz w:val="32"/>
          <w:szCs w:val="32"/>
        </w:rPr>
        <w:t>使用绩效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连城县投资促进中心</w:t>
      </w:r>
      <w:r>
        <w:rPr>
          <w:rFonts w:hint="eastAsia" w:ascii="仿宋" w:hAnsi="仿宋" w:eastAsia="仿宋"/>
          <w:sz w:val="32"/>
          <w:szCs w:val="32"/>
        </w:rPr>
        <w:t>组织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/>
          <w:sz w:val="32"/>
          <w:szCs w:val="32"/>
        </w:rPr>
        <w:t>年度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119部门整体</w:t>
      </w:r>
      <w:r>
        <w:rPr>
          <w:rFonts w:hint="eastAsia" w:ascii="仿宋" w:hAnsi="仿宋" w:eastAsia="仿宋"/>
          <w:sz w:val="32"/>
          <w:szCs w:val="32"/>
        </w:rPr>
        <w:t>开展绩效评价。</w:t>
      </w:r>
    </w:p>
    <w:p w14:paraId="5582214B">
      <w:pPr>
        <w:ind w:firstLine="627" w:firstLineChars="196"/>
        <w:rPr>
          <w:rFonts w:hint="default" w:ascii="黑体" w:hAnsi="黑体" w:eastAsia="黑体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</w:rPr>
        <w:t>一、</w:t>
      </w:r>
      <w:r>
        <w:rPr>
          <w:rFonts w:hint="eastAsia" w:ascii="黑体" w:hAnsi="黑体" w:eastAsia="黑体"/>
          <w:sz w:val="32"/>
          <w:szCs w:val="32"/>
        </w:rPr>
        <w:t>项目基本情况</w:t>
      </w:r>
    </w:p>
    <w:p w14:paraId="3B7DCBFF">
      <w:pPr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（一）专项基本情况</w:t>
      </w:r>
    </w:p>
    <w:p w14:paraId="32F05D13">
      <w:pPr>
        <w:ind w:firstLine="640" w:firstLineChars="200"/>
        <w:rPr>
          <w:rFonts w:hint="default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2023年度完成新签约项目308个，新开工项目182个，新竣工项目128个。新开工项目固定资产投资额235亿元。</w:t>
      </w: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005BFF85">
      <w:pPr>
        <w:numPr>
          <w:ilvl w:val="0"/>
          <w:numId w:val="2"/>
        </w:numPr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主要成效</w:t>
      </w:r>
    </w:p>
    <w:p w14:paraId="2E253A88">
      <w:pPr>
        <w:numPr>
          <w:ilvl w:val="0"/>
          <w:numId w:val="0"/>
        </w:numP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 xml:space="preserve"> 2023年度完成新签约项目308个，新开工项目182个，新竣工项目128个。新开工项目固定资产投资额235亿元。</w:t>
      </w:r>
    </w:p>
    <w:p w14:paraId="73A99B5F">
      <w:pPr>
        <w:ind w:firstLine="627" w:firstLineChars="196"/>
        <w:rPr>
          <w:rFonts w:hint="default" w:ascii="黑体" w:hAnsi="黑体" w:eastAsia="黑体" w:cs="仿宋"/>
          <w:kern w:val="0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</w:rPr>
        <w:t>二、绩效分析</w:t>
      </w:r>
    </w:p>
    <w:p w14:paraId="37C89FC6">
      <w:pPr>
        <w:spacing w:line="620" w:lineRule="exact"/>
        <w:ind w:firstLine="64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本项目绩效自评得分</w:t>
      </w:r>
      <w:r>
        <w:rPr>
          <w:rFonts w:ascii="仿宋_GB2312" w:hAnsi="仿宋_GB2312" w:eastAsia="仿宋_GB2312" w:cs="仿宋_GB2312"/>
          <w:sz w:val="32"/>
        </w:rPr>
        <w:t>100分，等级为优，设置绩效目标18个，实际完成18个，具体情况如下：</w:t>
      </w:r>
    </w:p>
    <w:p w14:paraId="66DD4369">
      <w:pPr>
        <w:spacing w:line="6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(一) 一般性支出情况</w:t>
      </w:r>
    </w:p>
    <w:p w14:paraId="280F8535">
      <w:pPr>
        <w:spacing w:line="6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1</w:t>
      </w:r>
      <w:r>
        <w:rPr>
          <w:rFonts w:hint="eastAsia" w:ascii="仿宋_GB2312" w:hAnsi="仿宋_GB2312" w:eastAsia="仿宋_GB2312" w:cs="仿宋_GB2312"/>
          <w:b/>
          <w:sz w:val="32"/>
          <w:lang w:eastAsia="zh-CN"/>
        </w:rPr>
        <w:t>.</w:t>
      </w:r>
      <w:r>
        <w:rPr>
          <w:rFonts w:ascii="仿宋_GB2312" w:hAnsi="仿宋_GB2312" w:eastAsia="仿宋_GB2312" w:cs="仿宋_GB2312"/>
          <w:b/>
          <w:sz w:val="32"/>
        </w:rPr>
        <w:t>一般性支出情况</w:t>
      </w:r>
    </w:p>
    <w:p w14:paraId="72C9D3ED">
      <w:pPr>
        <w:spacing w:line="6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(</w:t>
      </w:r>
      <w:r>
        <w:rPr>
          <w:rFonts w:ascii="仿宋_GB2312" w:hAnsi="仿宋_GB2312" w:eastAsia="仿宋_GB2312" w:cs="仿宋_GB2312"/>
          <w:sz w:val="32"/>
        </w:rPr>
        <w:t>1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)</w:t>
      </w:r>
      <w:r>
        <w:rPr>
          <w:rFonts w:ascii="仿宋_GB2312" w:hAnsi="仿宋_GB2312" w:eastAsia="仿宋_GB2312" w:cs="仿宋_GB2312"/>
          <w:sz w:val="32"/>
        </w:rPr>
        <w:t>“三公”经费控制率</w:t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2，得分2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F2CB38D">
      <w:pPr>
        <w:spacing w:line="6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(2)</w:t>
      </w:r>
      <w:r>
        <w:rPr>
          <w:rFonts w:ascii="仿宋_GB2312" w:hAnsi="仿宋_GB2312" w:eastAsia="仿宋_GB2312" w:cs="仿宋_GB2312"/>
          <w:sz w:val="32"/>
        </w:rPr>
        <w:t>“三公”经费违规使用次数</w:t>
      </w:r>
      <w:r>
        <w:rPr>
          <w:rFonts w:ascii="仿宋" w:hAnsi="仿宋" w:eastAsia="仿宋" w:cs="仿宋"/>
          <w:sz w:val="32"/>
        </w:rPr>
        <w:t>(次)，目标值0，完成值0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2，得分2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501A54B">
      <w:pPr>
        <w:spacing w:line="6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(3)</w:t>
      </w:r>
      <w:r>
        <w:rPr>
          <w:rFonts w:ascii="仿宋_GB2312" w:hAnsi="仿宋_GB2312" w:eastAsia="仿宋_GB2312" w:cs="仿宋_GB2312"/>
          <w:sz w:val="32"/>
        </w:rPr>
        <w:t>会议费、差旅费超标准使用次数</w:t>
      </w:r>
      <w:r>
        <w:rPr>
          <w:rFonts w:ascii="仿宋" w:hAnsi="仿宋" w:eastAsia="仿宋" w:cs="仿宋"/>
          <w:sz w:val="32"/>
        </w:rPr>
        <w:t>(次)，目标值0，完成值0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2，得分2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5EC6DE2">
      <w:pPr>
        <w:spacing w:line="6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(三) 成本指标</w:t>
      </w:r>
    </w:p>
    <w:p w14:paraId="7B5B2AD5">
      <w:pPr>
        <w:spacing w:line="6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1</w:t>
      </w:r>
      <w:r>
        <w:rPr>
          <w:rFonts w:hint="eastAsia" w:ascii="仿宋_GB2312" w:hAnsi="仿宋_GB2312" w:eastAsia="仿宋_GB2312" w:cs="仿宋_GB2312"/>
          <w:b/>
          <w:sz w:val="32"/>
          <w:lang w:eastAsia="zh-CN"/>
        </w:rPr>
        <w:t>.</w:t>
      </w:r>
      <w:r>
        <w:rPr>
          <w:rFonts w:ascii="仿宋_GB2312" w:hAnsi="仿宋_GB2312" w:eastAsia="仿宋_GB2312" w:cs="仿宋_GB2312"/>
          <w:b/>
          <w:sz w:val="32"/>
        </w:rPr>
        <w:t>经济成本指标</w:t>
      </w:r>
    </w:p>
    <w:p w14:paraId="134EEA3A">
      <w:pPr>
        <w:spacing w:line="6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(1)</w:t>
      </w:r>
      <w:r>
        <w:rPr>
          <w:rFonts w:ascii="仿宋_GB2312" w:hAnsi="仿宋_GB2312" w:eastAsia="仿宋_GB2312" w:cs="仿宋_GB2312"/>
          <w:sz w:val="32"/>
        </w:rPr>
        <w:t>资金使用率</w:t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4，得分4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ADF3D78">
      <w:pPr>
        <w:spacing w:line="6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2</w:t>
      </w:r>
      <w:r>
        <w:rPr>
          <w:rFonts w:hint="eastAsia" w:ascii="仿宋_GB2312" w:hAnsi="仿宋_GB2312" w:eastAsia="仿宋_GB2312" w:cs="仿宋_GB2312"/>
          <w:b/>
          <w:sz w:val="32"/>
          <w:lang w:eastAsia="zh-CN"/>
        </w:rPr>
        <w:t>.</w:t>
      </w:r>
      <w:r>
        <w:rPr>
          <w:rFonts w:ascii="仿宋_GB2312" w:hAnsi="仿宋_GB2312" w:eastAsia="仿宋_GB2312" w:cs="仿宋_GB2312"/>
          <w:b/>
          <w:sz w:val="32"/>
        </w:rPr>
        <w:t>社会成本指标</w:t>
      </w:r>
    </w:p>
    <w:p w14:paraId="4FDEE631">
      <w:pPr>
        <w:spacing w:line="62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(1)</w:t>
      </w:r>
      <w:r>
        <w:rPr>
          <w:rFonts w:ascii="仿宋_GB2312" w:hAnsi="仿宋_GB2312" w:eastAsia="仿宋_GB2312" w:cs="仿宋_GB2312"/>
          <w:sz w:val="32"/>
        </w:rPr>
        <w:t>意识形态工作任务成效</w:t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2，得分2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2106F6A">
      <w:pPr>
        <w:spacing w:line="6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3</w:t>
      </w:r>
      <w:r>
        <w:rPr>
          <w:rFonts w:hint="eastAsia" w:ascii="仿宋_GB2312" w:hAnsi="仿宋_GB2312" w:eastAsia="仿宋_GB2312" w:cs="仿宋_GB2312"/>
          <w:b/>
          <w:sz w:val="32"/>
          <w:lang w:eastAsia="zh-CN"/>
        </w:rPr>
        <w:t>.</w:t>
      </w:r>
      <w:r>
        <w:rPr>
          <w:rFonts w:ascii="仿宋_GB2312" w:hAnsi="仿宋_GB2312" w:eastAsia="仿宋_GB2312" w:cs="仿宋_GB2312"/>
          <w:b/>
          <w:sz w:val="32"/>
        </w:rPr>
        <w:t>生态环境成本指标</w:t>
      </w:r>
    </w:p>
    <w:p w14:paraId="04D47DD8">
      <w:pPr>
        <w:spacing w:line="6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(1)</w:t>
      </w:r>
      <w:r>
        <w:rPr>
          <w:rFonts w:ascii="仿宋_GB2312" w:hAnsi="仿宋_GB2312" w:eastAsia="仿宋_GB2312" w:cs="仿宋_GB2312"/>
          <w:sz w:val="32"/>
        </w:rPr>
        <w:t>引进企业通过环评率</w:t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2，得分2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6E142C0">
      <w:pPr>
        <w:spacing w:line="6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(二) 产出指标</w:t>
      </w:r>
    </w:p>
    <w:p w14:paraId="306536F5">
      <w:pPr>
        <w:spacing w:line="6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1</w:t>
      </w:r>
      <w:r>
        <w:rPr>
          <w:rFonts w:hint="eastAsia" w:ascii="仿宋_GB2312" w:hAnsi="仿宋_GB2312" w:eastAsia="仿宋_GB2312" w:cs="仿宋_GB2312"/>
          <w:b/>
          <w:sz w:val="32"/>
          <w:lang w:eastAsia="zh-CN"/>
        </w:rPr>
        <w:t>.</w:t>
      </w:r>
      <w:r>
        <w:rPr>
          <w:rFonts w:ascii="仿宋_GB2312" w:hAnsi="仿宋_GB2312" w:eastAsia="仿宋_GB2312" w:cs="仿宋_GB2312"/>
          <w:b/>
          <w:sz w:val="32"/>
        </w:rPr>
        <w:t>数量指标</w:t>
      </w:r>
    </w:p>
    <w:p w14:paraId="351A3E9A">
      <w:pPr>
        <w:spacing w:line="6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(1)</w:t>
      </w:r>
      <w:r>
        <w:rPr>
          <w:rFonts w:ascii="仿宋_GB2312" w:hAnsi="仿宋_GB2312" w:eastAsia="仿宋_GB2312" w:cs="仿宋_GB2312"/>
          <w:sz w:val="32"/>
        </w:rPr>
        <w:t>新签约项目</w:t>
      </w:r>
      <w:r>
        <w:rPr>
          <w:rFonts w:ascii="仿宋" w:hAnsi="仿宋" w:eastAsia="仿宋" w:cs="仿宋"/>
          <w:sz w:val="32"/>
        </w:rPr>
        <w:t>(个)，目标值280，完成值308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5，得分5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AFBAD7A">
      <w:pPr>
        <w:spacing w:line="6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(2)</w:t>
      </w:r>
      <w:r>
        <w:rPr>
          <w:rFonts w:ascii="仿宋_GB2312" w:hAnsi="仿宋_GB2312" w:eastAsia="仿宋_GB2312" w:cs="仿宋_GB2312"/>
          <w:sz w:val="32"/>
        </w:rPr>
        <w:t>新开工项目</w:t>
      </w:r>
      <w:r>
        <w:rPr>
          <w:rFonts w:ascii="仿宋" w:hAnsi="仿宋" w:eastAsia="仿宋" w:cs="仿宋"/>
          <w:sz w:val="32"/>
        </w:rPr>
        <w:t>(个)，目标值155，完成值182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5，得分5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1DA1B3C">
      <w:pPr>
        <w:spacing w:line="6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(3)</w:t>
      </w:r>
      <w:r>
        <w:rPr>
          <w:rFonts w:ascii="仿宋_GB2312" w:hAnsi="仿宋_GB2312" w:eastAsia="仿宋_GB2312" w:cs="仿宋_GB2312"/>
          <w:sz w:val="32"/>
        </w:rPr>
        <w:t>新竣工项目</w:t>
      </w:r>
      <w:r>
        <w:rPr>
          <w:rFonts w:ascii="仿宋" w:hAnsi="仿宋" w:eastAsia="仿宋" w:cs="仿宋"/>
          <w:sz w:val="32"/>
        </w:rPr>
        <w:t>(个)，目标值85，完成值128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5，得分5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B440043">
      <w:pPr>
        <w:spacing w:line="6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2</w:t>
      </w:r>
      <w:r>
        <w:rPr>
          <w:rFonts w:hint="eastAsia" w:ascii="仿宋_GB2312" w:hAnsi="仿宋_GB2312" w:eastAsia="仿宋_GB2312" w:cs="仿宋_GB2312"/>
          <w:b/>
          <w:sz w:val="32"/>
          <w:lang w:eastAsia="zh-CN"/>
        </w:rPr>
        <w:t>.</w:t>
      </w:r>
      <w:r>
        <w:rPr>
          <w:rFonts w:ascii="仿宋_GB2312" w:hAnsi="仿宋_GB2312" w:eastAsia="仿宋_GB2312" w:cs="仿宋_GB2312"/>
          <w:b/>
          <w:sz w:val="32"/>
        </w:rPr>
        <w:t>质量指标</w:t>
      </w:r>
    </w:p>
    <w:p w14:paraId="52F8BCE3">
      <w:pPr>
        <w:spacing w:line="6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(1)</w:t>
      </w:r>
      <w:r>
        <w:rPr>
          <w:rFonts w:ascii="仿宋_GB2312" w:hAnsi="仿宋_GB2312" w:eastAsia="仿宋_GB2312" w:cs="仿宋_GB2312"/>
          <w:sz w:val="32"/>
        </w:rPr>
        <w:t>资金使用合规性</w:t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5，得分5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C270302">
      <w:pPr>
        <w:spacing w:line="6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(2)</w:t>
      </w:r>
      <w:r>
        <w:rPr>
          <w:rFonts w:ascii="仿宋_GB2312" w:hAnsi="仿宋_GB2312" w:eastAsia="仿宋_GB2312" w:cs="仿宋_GB2312"/>
          <w:sz w:val="32"/>
        </w:rPr>
        <w:t>意识形态工作任务成效</w:t>
      </w:r>
      <w:r>
        <w:rPr>
          <w:rFonts w:ascii="仿宋" w:hAnsi="仿宋" w:eastAsia="仿宋" w:cs="仿宋"/>
          <w:sz w:val="32"/>
        </w:rPr>
        <w:t>(％)，目标值100，完成值100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4，得分4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EC1B736">
      <w:pPr>
        <w:spacing w:line="6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(3)</w:t>
      </w:r>
      <w:r>
        <w:rPr>
          <w:rFonts w:ascii="仿宋_GB2312" w:hAnsi="仿宋_GB2312" w:eastAsia="仿宋_GB2312" w:cs="仿宋_GB2312"/>
          <w:sz w:val="32"/>
        </w:rPr>
        <w:t>市对县绩效指标完成成效</w:t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4，得分4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BEB9BE9">
      <w:pPr>
        <w:spacing w:line="6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3</w:t>
      </w:r>
      <w:r>
        <w:rPr>
          <w:rFonts w:hint="eastAsia" w:ascii="仿宋_GB2312" w:hAnsi="仿宋_GB2312" w:eastAsia="仿宋_GB2312" w:cs="仿宋_GB2312"/>
          <w:b/>
          <w:sz w:val="32"/>
          <w:lang w:eastAsia="zh-CN"/>
        </w:rPr>
        <w:t>.</w:t>
      </w:r>
      <w:r>
        <w:rPr>
          <w:rFonts w:ascii="仿宋_GB2312" w:hAnsi="仿宋_GB2312" w:eastAsia="仿宋_GB2312" w:cs="仿宋_GB2312"/>
          <w:b/>
          <w:sz w:val="32"/>
        </w:rPr>
        <w:t>时效指标</w:t>
      </w:r>
    </w:p>
    <w:p w14:paraId="66F11FF8">
      <w:pPr>
        <w:spacing w:line="6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(1)</w:t>
      </w:r>
      <w:r>
        <w:rPr>
          <w:rFonts w:ascii="仿宋_GB2312" w:hAnsi="仿宋_GB2312" w:eastAsia="仿宋_GB2312" w:cs="仿宋_GB2312"/>
          <w:sz w:val="32"/>
        </w:rPr>
        <w:t>任务完成及时率</w:t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4，得分4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FC468D3">
      <w:pPr>
        <w:spacing w:line="6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(2)</w:t>
      </w:r>
      <w:r>
        <w:rPr>
          <w:rFonts w:ascii="仿宋_GB2312" w:hAnsi="仿宋_GB2312" w:eastAsia="仿宋_GB2312" w:cs="仿宋_GB2312"/>
          <w:sz w:val="32"/>
        </w:rPr>
        <w:t>预算执行及时率</w:t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4，得分4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2425374">
      <w:pPr>
        <w:spacing w:line="6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(四) 效益指标</w:t>
      </w:r>
    </w:p>
    <w:p w14:paraId="2A60C966">
      <w:pPr>
        <w:spacing w:line="6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1</w:t>
      </w:r>
      <w:r>
        <w:rPr>
          <w:rFonts w:hint="eastAsia" w:ascii="仿宋_GB2312" w:hAnsi="仿宋_GB2312" w:eastAsia="仿宋_GB2312" w:cs="仿宋_GB2312"/>
          <w:b/>
          <w:sz w:val="32"/>
          <w:lang w:eastAsia="zh-CN"/>
        </w:rPr>
        <w:t>.</w:t>
      </w:r>
      <w:r>
        <w:rPr>
          <w:rFonts w:ascii="仿宋_GB2312" w:hAnsi="仿宋_GB2312" w:eastAsia="仿宋_GB2312" w:cs="仿宋_GB2312"/>
          <w:b/>
          <w:sz w:val="32"/>
        </w:rPr>
        <w:t>经济效益指标</w:t>
      </w:r>
    </w:p>
    <w:p w14:paraId="0F84835B">
      <w:pPr>
        <w:spacing w:line="6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(1)</w:t>
      </w:r>
      <w:r>
        <w:rPr>
          <w:rFonts w:ascii="仿宋_GB2312" w:hAnsi="仿宋_GB2312" w:eastAsia="仿宋_GB2312" w:cs="仿宋_GB2312"/>
          <w:sz w:val="32"/>
        </w:rPr>
        <w:t>全县新签约开工项目总投资额</w:t>
      </w:r>
      <w:r>
        <w:rPr>
          <w:rFonts w:ascii="仿宋" w:hAnsi="仿宋" w:eastAsia="仿宋" w:cs="仿宋"/>
          <w:sz w:val="32"/>
        </w:rPr>
        <w:t>(亿元)，目标值150，完成值235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11，得分11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36A037E">
      <w:pPr>
        <w:spacing w:line="6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2</w:t>
      </w:r>
      <w:r>
        <w:rPr>
          <w:rFonts w:hint="eastAsia" w:ascii="仿宋_GB2312" w:hAnsi="仿宋_GB2312" w:eastAsia="仿宋_GB2312" w:cs="仿宋_GB2312"/>
          <w:b/>
          <w:sz w:val="32"/>
          <w:lang w:eastAsia="zh-CN"/>
        </w:rPr>
        <w:t>.</w:t>
      </w:r>
      <w:r>
        <w:rPr>
          <w:rFonts w:ascii="仿宋_GB2312" w:hAnsi="仿宋_GB2312" w:eastAsia="仿宋_GB2312" w:cs="仿宋_GB2312"/>
          <w:b/>
          <w:sz w:val="32"/>
        </w:rPr>
        <w:t>社会效益指标</w:t>
      </w:r>
    </w:p>
    <w:p w14:paraId="4A43FDF8">
      <w:pPr>
        <w:spacing w:line="6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(1)</w:t>
      </w:r>
      <w:r>
        <w:rPr>
          <w:rFonts w:ascii="仿宋_GB2312" w:hAnsi="仿宋_GB2312" w:eastAsia="仿宋_GB2312" w:cs="仿宋_GB2312"/>
          <w:sz w:val="32"/>
        </w:rPr>
        <w:t>平安单位创建工作成效</w:t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10，得分10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757D15F">
      <w:pPr>
        <w:spacing w:line="6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3</w:t>
      </w:r>
      <w:r>
        <w:rPr>
          <w:rFonts w:hint="eastAsia" w:ascii="仿宋_GB2312" w:hAnsi="仿宋_GB2312" w:eastAsia="仿宋_GB2312" w:cs="仿宋_GB2312"/>
          <w:b/>
          <w:sz w:val="32"/>
          <w:lang w:eastAsia="zh-CN"/>
        </w:rPr>
        <w:t>.</w:t>
      </w:r>
      <w:r>
        <w:rPr>
          <w:rFonts w:ascii="仿宋_GB2312" w:hAnsi="仿宋_GB2312" w:eastAsia="仿宋_GB2312" w:cs="仿宋_GB2312"/>
          <w:b/>
          <w:sz w:val="32"/>
        </w:rPr>
        <w:t>生态效益指标</w:t>
      </w:r>
    </w:p>
    <w:p w14:paraId="75AA3C4F">
      <w:pPr>
        <w:spacing w:line="6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(1)</w:t>
      </w:r>
      <w:r>
        <w:rPr>
          <w:rFonts w:ascii="仿宋_GB2312" w:hAnsi="仿宋_GB2312" w:eastAsia="仿宋_GB2312" w:cs="仿宋_GB2312"/>
          <w:sz w:val="32"/>
        </w:rPr>
        <w:t>引进企业通过环评率</w:t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9，得分9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A73F650">
      <w:pPr>
        <w:spacing w:line="6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(五) 满意度指标</w:t>
      </w:r>
    </w:p>
    <w:p w14:paraId="0A291D9B">
      <w:pPr>
        <w:spacing w:line="6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1</w:t>
      </w:r>
      <w:r>
        <w:rPr>
          <w:rFonts w:hint="eastAsia" w:ascii="仿宋_GB2312" w:hAnsi="仿宋_GB2312" w:eastAsia="仿宋_GB2312" w:cs="仿宋_GB2312"/>
          <w:b/>
          <w:sz w:val="32"/>
          <w:lang w:eastAsia="zh-CN"/>
        </w:rPr>
        <w:t>.</w:t>
      </w:r>
      <w:r>
        <w:rPr>
          <w:rFonts w:ascii="仿宋_GB2312" w:hAnsi="仿宋_GB2312" w:eastAsia="仿宋_GB2312" w:cs="仿宋_GB2312"/>
          <w:b/>
          <w:sz w:val="32"/>
        </w:rPr>
        <w:t>服务对象满意度指标</w:t>
      </w:r>
    </w:p>
    <w:p w14:paraId="4EACF5BD">
      <w:pPr>
        <w:spacing w:line="620" w:lineRule="exact"/>
        <w:ind w:firstLine="640" w:firstLineChars="200"/>
        <w:rPr>
          <w:rFonts w:hint="default" w:ascii="仿宋" w:hAnsi="仿宋" w:eastAsia="仿宋"/>
          <w:b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(1)</w:t>
      </w:r>
      <w:bookmarkStart w:id="0" w:name="_GoBack"/>
      <w:bookmarkEnd w:id="0"/>
      <w:r>
        <w:rPr>
          <w:rFonts w:ascii="仿宋_GB2312" w:hAnsi="仿宋_GB2312" w:eastAsia="仿宋_GB2312" w:cs="仿宋_GB2312"/>
          <w:sz w:val="32"/>
        </w:rPr>
        <w:t>服务对象满意度</w:t>
      </w:r>
      <w:r>
        <w:rPr>
          <w:rFonts w:ascii="仿宋" w:hAnsi="仿宋" w:eastAsia="仿宋" w:cs="仿宋"/>
          <w:sz w:val="32"/>
        </w:rPr>
        <w:t>(%)，目标值90，完成值100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10，得分10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0D4FCDC">
      <w:pPr>
        <w:ind w:firstLine="640" w:firstLineChars="200"/>
        <w:rPr>
          <w:rFonts w:hint="default" w:ascii="黑体" w:hAnsi="黑体" w:eastAsia="黑体" w:cs="仿宋"/>
          <w:kern w:val="0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</w:rPr>
        <w:t>三、存在的主要问题及改进措施</w:t>
      </w:r>
    </w:p>
    <w:p w14:paraId="7DA5A7F8">
      <w:pPr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（一）主要问题</w:t>
      </w:r>
    </w:p>
    <w:p w14:paraId="4148D1CE">
      <w:pPr>
        <w:pStyle w:val="9"/>
        <w:spacing w:after="0" w:line="540" w:lineRule="exact"/>
        <w:ind w:left="0" w:leftChars="0" w:firstLine="643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1.</w:t>
      </w:r>
      <w:r>
        <w:rPr>
          <w:rFonts w:eastAsia="仿宋_GB2312"/>
          <w:b/>
          <w:bCs/>
          <w:sz w:val="32"/>
          <w:szCs w:val="32"/>
        </w:rPr>
        <w:t>工作机制不够顺畅</w:t>
      </w:r>
      <w:r>
        <w:rPr>
          <w:rFonts w:eastAsia="仿宋_GB2312"/>
          <w:sz w:val="32"/>
          <w:szCs w:val="32"/>
        </w:rPr>
        <w:t>。闲置厂房盘活效率不高，“飞地”项目后续的跟踪服务存在“脱节”现象。</w:t>
      </w:r>
    </w:p>
    <w:p w14:paraId="030B6F0F">
      <w:pPr>
        <w:pStyle w:val="9"/>
        <w:spacing w:after="0" w:line="540" w:lineRule="exact"/>
        <w:ind w:left="0" w:leftChars="0" w:firstLine="640" w:firstLineChars="200"/>
      </w:pPr>
      <w:r>
        <w:rPr>
          <w:rFonts w:hint="eastAsia" w:eastAsia="仿宋_GB2312"/>
          <w:sz w:val="32"/>
          <w:szCs w:val="32"/>
          <w:lang w:val="en-US" w:eastAsia="zh-CN"/>
        </w:rPr>
        <w:t>2.</w:t>
      </w:r>
      <w:r>
        <w:rPr>
          <w:rFonts w:eastAsia="仿宋_GB2312"/>
          <w:b/>
          <w:bCs/>
          <w:sz w:val="32"/>
          <w:szCs w:val="32"/>
        </w:rPr>
        <w:t>营商环境有待提升</w:t>
      </w:r>
      <w:r>
        <w:rPr>
          <w:rFonts w:eastAsia="仿宋_GB2312"/>
          <w:sz w:val="32"/>
          <w:szCs w:val="32"/>
        </w:rPr>
        <w:t>。相关要素保障部门缺乏主动服务意识，为企业排忧解难的联动配合不够。</w:t>
      </w:r>
    </w:p>
    <w:p w14:paraId="51AD868B">
      <w:pPr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（二）改进措施</w:t>
      </w:r>
    </w:p>
    <w:p w14:paraId="10011AE9">
      <w:pPr>
        <w:spacing w:line="54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健全工作机制。</w:t>
      </w:r>
      <w:r>
        <w:rPr>
          <w:rFonts w:ascii="Times New Roman" w:hAnsi="Times New Roman" w:eastAsia="仿宋_GB2312" w:cs="Times New Roman"/>
          <w:sz w:val="32"/>
          <w:szCs w:val="32"/>
        </w:rPr>
        <w:t>健全招商洽谈机制，加快项目准入评审，优化园区产业布局。修订完善招商引资优惠政策，规范投资合同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签订</w:t>
      </w:r>
      <w:r>
        <w:rPr>
          <w:rFonts w:ascii="Times New Roman" w:hAnsi="Times New Roman" w:eastAsia="仿宋_GB2312" w:cs="Times New Roman"/>
          <w:sz w:val="32"/>
          <w:szCs w:val="32"/>
        </w:rPr>
        <w:t>，加强项目履约监管，提高优惠政策审核兑现效率。</w:t>
      </w:r>
    </w:p>
    <w:p w14:paraId="1B6271F1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走出去“敲门招商”。</w:t>
      </w:r>
      <w:r>
        <w:rPr>
          <w:rFonts w:ascii="Times New Roman" w:hAnsi="Times New Roman" w:eastAsia="仿宋_GB2312" w:cs="Times New Roman"/>
          <w:sz w:val="32"/>
          <w:szCs w:val="32"/>
        </w:rPr>
        <w:t>围绕招商引资短板，从招商信息捕捉、整合资源到 “一把手”带头招商等方面主动作为，推进招商引资见实效、有作为。用好“6·18”“9·8”“11·8”等重大展会活动平台组织开展招商推介，举办针对重点地区产业的招商推介活动。</w:t>
      </w:r>
    </w:p>
    <w:p w14:paraId="64B79B47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推动“莲商回归”。</w:t>
      </w:r>
      <w:r>
        <w:rPr>
          <w:rFonts w:ascii="Times New Roman" w:hAnsi="Times New Roman" w:eastAsia="仿宋_GB2312" w:cs="Times New Roman"/>
          <w:sz w:val="32"/>
          <w:szCs w:val="32"/>
        </w:rPr>
        <w:t>充分发挥驻外小分队和异地商会协同联动作用，及时梳理跟踪莲商投资意向、招商线索，做足做实项目储备。支持已落地莲商扩能升级，“高看一眼、厚爱一筹”，并引领带动更多莲商产业回归。</w:t>
      </w:r>
    </w:p>
    <w:p w14:paraId="5997B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840" w:leftChars="0" w:firstLine="420" w:firstLineChars="0"/>
        <w:textAlignment w:val="auto"/>
        <w:rPr>
          <w:b w:val="0"/>
          <w:bCs/>
        </w:rPr>
      </w:pPr>
    </w:p>
    <w:sectPr>
      <w:footerReference r:id="rId3" w:type="default"/>
      <w:pgSz w:w="11906" w:h="16838"/>
      <w:pgMar w:top="1701" w:right="1531" w:bottom="1701" w:left="1531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AB1D2">
    <w:pPr>
      <w:pStyle w:val="8"/>
      <w:tabs>
        <w:tab w:val="center" w:pos="4153"/>
        <w:tab w:val="right" w:pos="8306"/>
      </w:tabs>
      <w:jc w:val="center"/>
      <w:rPr>
        <w:rFonts w:hint="default" w:eastAsia="宋体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4AE914">
                          <w:pPr>
                            <w:pStyle w:val="8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4AE914">
                    <w:pPr>
                      <w:pStyle w:val="8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EA1FD93">
    <w:pPr>
      <w:pStyle w:val="8"/>
      <w:tabs>
        <w:tab w:val="center" w:pos="4153"/>
        <w:tab w:val="right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916307"/>
    <w:multiLevelType w:val="singleLevel"/>
    <w:tmpl w:val="8F916307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9DABEDB"/>
    <w:multiLevelType w:val="singleLevel"/>
    <w:tmpl w:val="39DABEDB"/>
    <w:lvl w:ilvl="0" w:tentative="0">
      <w:start w:val="1"/>
      <w:numFmt w:val="bullet"/>
      <w:pStyle w:val="4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NTY2MGQ0ZjI4ZDRiZGFiYjkzMjdjYzY5NzZjOTgifQ=="/>
  </w:docVars>
  <w:rsids>
    <w:rsidRoot w:val="71776F75"/>
    <w:rsid w:val="0547382C"/>
    <w:rsid w:val="0751451A"/>
    <w:rsid w:val="07FB4740"/>
    <w:rsid w:val="22A66656"/>
    <w:rsid w:val="35F966DB"/>
    <w:rsid w:val="3663711A"/>
    <w:rsid w:val="412D21C1"/>
    <w:rsid w:val="43790164"/>
    <w:rsid w:val="43EF1812"/>
    <w:rsid w:val="469952ED"/>
    <w:rsid w:val="4C4238F7"/>
    <w:rsid w:val="58C90448"/>
    <w:rsid w:val="71776F75"/>
    <w:rsid w:val="728A3E03"/>
    <w:rsid w:val="77715EB5"/>
    <w:rsid w:val="7A31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99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883" w:firstLineChars="2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5">
    <w:name w:val="index 6"/>
    <w:basedOn w:val="1"/>
    <w:next w:val="1"/>
    <w:semiHidden/>
    <w:qFormat/>
    <w:uiPriority w:val="99"/>
    <w:pPr>
      <w:ind w:left="2100"/>
    </w:pPr>
  </w:style>
  <w:style w:type="paragraph" w:styleId="6">
    <w:name w:val="Body Text Indent"/>
    <w:basedOn w:val="1"/>
    <w:next w:val="7"/>
    <w:qFormat/>
    <w:uiPriority w:val="0"/>
    <w:pPr>
      <w:ind w:firstLine="480" w:firstLineChars="200"/>
    </w:pPr>
    <w:rPr>
      <w:rFonts w:ascii="Times New Roman" w:hAnsi="Times New Roman" w:cs="Times New Roman"/>
    </w:rPr>
  </w:style>
  <w:style w:type="paragraph" w:styleId="7">
    <w:name w:val="header"/>
    <w:basedOn w:val="1"/>
    <w:next w:val="8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footer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9">
    <w:name w:val="Body Text First Indent 2"/>
    <w:basedOn w:val="6"/>
    <w:next w:val="5"/>
    <w:qFormat/>
    <w:uiPriority w:val="0"/>
    <w:pPr>
      <w:spacing w:after="120"/>
      <w:ind w:left="420" w:leftChars="200"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1568</Words>
  <Characters>1748</Characters>
  <Lines>0</Lines>
  <Paragraphs>0</Paragraphs>
  <TotalTime>29</TotalTime>
  <ScaleCrop>false</ScaleCrop>
  <LinksUpToDate>false</LinksUpToDate>
  <CharactersWithSpaces>1759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2022-03-03T08:53:00Z</dcterms:created>
  <dc:creator>86176</dc:creator>
  <cp:lastModifiedBy>Administrator</cp:lastModifiedBy>
  <cp:lastPrinted>2025-03-04T00:08:00Z</cp:lastPrinted>
  <dcterms:modified xsi:type="dcterms:W3CDTF">2025-03-04T08:46:15Z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D14FDDD7BC7D46C7A05C7CAAD5D36872</vt:lpwstr>
  </property>
  <property fmtid="{D5CDD505-2E9C-101B-9397-08002B2CF9AE}" pid="4" name="KSOTemplateDocerSaveRecord">
    <vt:lpwstr>eyJoZGlkIjoiOTM0YWYwZjBjYjg0OGMzZDdmZGU3ZGU1ZDg1NDgzMTAifQ==</vt:lpwstr>
  </property>
</Properties>
</file>