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 w:hAnsi="仿宋" w:eastAsia="仿宋"/>
          <w:sz w:val="28"/>
          <w:szCs w:val="32"/>
        </w:rPr>
      </w:pPr>
      <w:r>
        <w:rPr>
          <w:rFonts w:hint="eastAsia" w:ascii="仿宋" w:hAnsi="仿宋" w:eastAsia="仿宋"/>
          <w:sz w:val="28"/>
          <w:szCs w:val="32"/>
        </w:rPr>
        <w:t>附件4</w:t>
      </w:r>
    </w:p>
    <w:p>
      <w:pPr>
        <w:rPr>
          <w:rFonts w:ascii="仿宋" w:hAnsi="仿宋" w:eastAsia="仿宋"/>
          <w:sz w:val="32"/>
          <w:szCs w:val="32"/>
        </w:rPr>
      </w:pPr>
    </w:p>
    <w:p>
      <w:pPr>
        <w:ind w:firstLine="420"/>
        <w:jc w:val="center"/>
        <w:rPr>
          <w:rFonts w:ascii="宋体" w:hAnsi="宋体" w:cs="仿宋"/>
          <w:b/>
          <w:sz w:val="44"/>
          <w:szCs w:val="44"/>
        </w:rPr>
      </w:pPr>
      <w:r>
        <w:rPr>
          <w:rFonts w:hint="eastAsia" w:ascii="宋体" w:hAnsi="宋体" w:cs="仿宋"/>
          <w:b/>
          <w:sz w:val="44"/>
          <w:szCs w:val="44"/>
        </w:rPr>
        <w:t>2024年度</w:t>
      </w:r>
      <w:r>
        <w:rPr>
          <w:rFonts w:ascii="宋体" w:hAnsi="宋体" w:eastAsia="宋体" w:cs="宋体"/>
          <w:b/>
          <w:sz w:val="44"/>
        </w:rPr>
        <w:t>县级预算项目绩效自评报告</w:t>
      </w:r>
    </w:p>
    <w:p>
      <w:pPr>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113部门整体</w:t>
      </w:r>
      <w:r>
        <w:rPr>
          <w:rFonts w:hint="eastAsia" w:ascii="仿宋" w:hAnsi="仿宋" w:eastAsia="仿宋"/>
          <w:sz w:val="32"/>
          <w:szCs w:val="32"/>
        </w:rPr>
        <w:t>）</w:t>
      </w:r>
    </w:p>
    <w:p>
      <w:pPr>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ind w:firstLine="643" w:firstLineChars="200"/>
        <w:rPr>
          <w:rFonts w:hint="eastAsia" w:ascii="仿宋" w:hAnsi="仿宋" w:eastAsia="仿宋"/>
          <w:b/>
          <w:sz w:val="32"/>
          <w:szCs w:val="32"/>
        </w:rPr>
      </w:pPr>
      <w:r>
        <w:rPr>
          <w:rFonts w:hint="eastAsia" w:ascii="仿宋" w:hAnsi="仿宋" w:eastAsia="仿宋"/>
          <w:b/>
          <w:sz w:val="32"/>
          <w:szCs w:val="32"/>
        </w:rPr>
        <w:t>（一）项目概况</w:t>
      </w:r>
    </w:p>
    <w:p>
      <w:pPr>
        <w:ind w:firstLine="640" w:firstLineChars="200"/>
        <w:rPr>
          <w:rFonts w:ascii="仿宋" w:hAnsi="仿宋" w:eastAsia="仿宋"/>
          <w:sz w:val="32"/>
          <w:szCs w:val="32"/>
        </w:rPr>
      </w:pPr>
      <w:r>
        <w:rPr>
          <w:rFonts w:hint="eastAsia" w:ascii="仿宋" w:hAnsi="仿宋" w:eastAsia="仿宋" w:cs="仿宋"/>
          <w:sz w:val="32"/>
          <w:lang w:val="en-US" w:eastAsia="zh-CN"/>
        </w:rPr>
        <w:t>2024年度</w:t>
      </w:r>
      <w:r>
        <w:rPr>
          <w:rFonts w:hint="eastAsia" w:ascii="仿宋" w:hAnsi="仿宋" w:eastAsia="仿宋" w:cs="仿宋"/>
          <w:sz w:val="32"/>
          <w:lang w:eastAsia="zh-CN"/>
        </w:rPr>
        <w:t>连城县统计局统计工作经费</w:t>
      </w:r>
      <w:r>
        <w:rPr>
          <w:rFonts w:hint="eastAsia" w:ascii="仿宋" w:hAnsi="仿宋" w:eastAsia="仿宋" w:cs="仿宋"/>
          <w:sz w:val="32"/>
        </w:rPr>
        <w:tab/>
      </w:r>
      <w:r>
        <w:rPr>
          <w:rFonts w:hint="eastAsia" w:ascii="仿宋" w:hAnsi="仿宋" w:eastAsia="仿宋" w:cs="仿宋"/>
          <w:sz w:val="32"/>
        </w:rPr>
        <w:tab/>
      </w:r>
      <w:r>
        <w:rPr>
          <w:rFonts w:hint="eastAsia" w:ascii="仿宋" w:hAnsi="仿宋" w:eastAsia="仿宋" w:cs="仿宋"/>
          <w:sz w:val="32"/>
        </w:rPr>
        <w:tab/>
      </w:r>
      <w:r>
        <w:rPr>
          <w:rFonts w:hint="eastAsia" w:ascii="仿宋" w:hAnsi="仿宋" w:eastAsia="仿宋" w:cs="仿宋"/>
          <w:sz w:val="32"/>
        </w:rPr>
        <w:tab/>
      </w:r>
      <w:r>
        <w:rPr>
          <w:rFonts w:hint="eastAsia" w:ascii="仿宋" w:hAnsi="仿宋" w:eastAsia="仿宋" w:cs="仿宋"/>
          <w:sz w:val="32"/>
        </w:rPr>
        <w:tab/>
      </w:r>
      <w:r>
        <w:rPr>
          <w:rFonts w:ascii="仿宋" w:hAnsi="仿宋" w:eastAsia="仿宋" w:cs="仿宋"/>
          <w:sz w:val="32"/>
        </w:rPr>
        <w:t xml:space="preserve"> </w:t>
      </w:r>
    </w:p>
    <w:p>
      <w:pPr>
        <w:ind w:firstLine="643" w:firstLineChars="200"/>
        <w:rPr>
          <w:rFonts w:ascii="仿宋" w:hAnsi="仿宋" w:eastAsia="仿宋"/>
          <w:sz w:val="32"/>
          <w:szCs w:val="32"/>
        </w:rPr>
      </w:pPr>
      <w:r>
        <w:rPr>
          <w:rFonts w:hint="eastAsia" w:ascii="仿宋" w:hAnsi="仿宋" w:eastAsia="仿宋"/>
          <w:b/>
          <w:sz w:val="32"/>
          <w:szCs w:val="32"/>
        </w:rPr>
        <w:t>（二）主要成效</w:t>
      </w:r>
      <w:bookmarkStart w:id="0" w:name="_GoBack"/>
      <w:bookmarkEnd w:id="0"/>
    </w:p>
    <w:p>
      <w:pPr>
        <w:ind w:firstLine="320" w:firstLineChars="100"/>
        <w:rPr>
          <w:rFonts w:hint="eastAsia" w:ascii="仿宋" w:hAnsi="仿宋" w:eastAsia="仿宋"/>
          <w:sz w:val="32"/>
          <w:szCs w:val="32"/>
        </w:rPr>
      </w:pPr>
      <w:r>
        <w:rPr>
          <w:rFonts w:hint="eastAsia" w:ascii="仿宋" w:hAnsi="仿宋" w:eastAsia="仿宋"/>
          <w:sz w:val="32"/>
          <w:szCs w:val="32"/>
        </w:rPr>
        <w:t>（一）深学争优，着力凝心铸魂</w:t>
      </w:r>
    </w:p>
    <w:p>
      <w:pPr>
        <w:ind w:firstLine="640" w:firstLineChars="200"/>
        <w:rPr>
          <w:rFonts w:hint="eastAsia" w:ascii="仿宋" w:hAnsi="仿宋" w:eastAsia="仿宋"/>
          <w:sz w:val="32"/>
          <w:szCs w:val="32"/>
        </w:rPr>
      </w:pPr>
      <w:r>
        <w:rPr>
          <w:rFonts w:hint="eastAsia" w:ascii="仿宋" w:hAnsi="仿宋" w:eastAsia="仿宋"/>
          <w:sz w:val="32"/>
          <w:szCs w:val="32"/>
        </w:rPr>
        <w:t>一是深化理论学习。把学习贯彻习近平新时代中国特色社会主义思想作为长期的首要政治任务，坚持党组会“第一议题”制度，2024年党组会“第一议题”组织学习习近平总书记最新重要讲话重要指示批示精神12次，坚定正确政治方向。以党纪学习教育开展为契机，抓实理论学习，将新修订的《中国共产党纪律处分条例》作为党纪学习教育的主要学习内容。党纪学习教育期间，制定集中学习计划2份，党员干部根据个人实际制定学习计划14份，开展集中学习3次，领导干部讲授专题党课5次，专题研讨交流3次，撰写学习研讨材料18份，开展主题党日3次，举办专题读书班1期，召开警示教育会1场，切实做到学有所思、学有所获、学有所进。二是唱响主旋律。坚持党管宣传的原则，严格落实意识形态责任制，紧扣学习宣传贯彻党的二十大精神这条主线，充分利用单位宣传栏、微信工作群等载体开展关于党的二十大精神、拥军优属、禁毒等主题宣传，加强文化阵地建设。2024年，在省、市级统计网站上发布宣传信息共66条。</w:t>
      </w:r>
    </w:p>
    <w:p>
      <w:pPr>
        <w:ind w:firstLine="320" w:firstLineChars="100"/>
        <w:rPr>
          <w:rFonts w:hint="eastAsia" w:ascii="仿宋" w:hAnsi="仿宋" w:eastAsia="仿宋"/>
          <w:sz w:val="32"/>
          <w:szCs w:val="32"/>
        </w:rPr>
      </w:pPr>
      <w:r>
        <w:rPr>
          <w:rFonts w:hint="eastAsia" w:ascii="仿宋" w:hAnsi="仿宋" w:eastAsia="仿宋"/>
          <w:sz w:val="32"/>
          <w:szCs w:val="32"/>
        </w:rPr>
        <w:t>（二）敢为争先，着力争先进位</w:t>
      </w:r>
    </w:p>
    <w:p>
      <w:pPr>
        <w:ind w:firstLine="640" w:firstLineChars="200"/>
        <w:rPr>
          <w:rFonts w:hint="eastAsia" w:ascii="仿宋" w:hAnsi="仿宋" w:eastAsia="仿宋"/>
          <w:sz w:val="32"/>
          <w:szCs w:val="32"/>
        </w:rPr>
      </w:pPr>
      <w:r>
        <w:rPr>
          <w:rFonts w:hint="eastAsia" w:ascii="仿宋" w:hAnsi="仿宋" w:eastAsia="仿宋"/>
          <w:sz w:val="32"/>
          <w:szCs w:val="32"/>
        </w:rPr>
        <w:t>一是突出工作重点，第五次全国经济普查工作有序开展。在县融媒体中心微信公众号推出“统计周末微培训·五经普加油站”栏目9期，在县中心城区LED屏、城市公园、电视台走字宣传经普工作，各乡（镇）、村（居）在公告栏粘贴“五经普”宣传图、宣传标语，利用LED屏滚动播放宣传标语等以“万屏联动”形式，以入户普查登记为契机，发放普查告知书8000余份。通过强化组织领导、精心组织业务普查培训、加强普查登记督导，全体干部职工深入企业、乡（镇）指导统计、普查业务工作300余人次，全面完成全县1455户抽样个体户、6306家非一套表单位第五次全国经济普查登记。二是坚持党建引领，加强统计队伍建设。坚持“党建+业务”模式，以创建“数海有为我争先”统计特色党建品牌为抓手，通过开展“党建引领211”行动（“2”即创党建与业务两个方面，“11”即落实11项工作创建措施），推动党建与统计业务工作深度融合，提升统计能力，着力构建一支党建业务双一流统计队伍。深化巩固统计专员制度。全县设置统计专员工作室17个，配备统计专员40名，其中，35周岁以下本科学历统计专员25名，为各乡（镇）统计专员配备电脑42台，打印机14台，有效改善统计专员办公条件。激发统计队伍干事创业激情。县统计局获评2023年度“三争”重点工作成绩突出集体，连续两年撰写统计分析获全市优秀统计分析报告一等奖，1名干部获评“三争”重点工作成绩突出个人，1名干部获县委优秀共产党员表彰；局工会参加县第五届趣味运动会，取得团体一等奖、三个单项前三等荣誉，营造浓厚“争优、争先、争效”氛围。</w:t>
      </w:r>
    </w:p>
    <w:p>
      <w:pPr>
        <w:ind w:firstLine="320" w:firstLineChars="100"/>
        <w:rPr>
          <w:rFonts w:hint="eastAsia" w:ascii="仿宋" w:hAnsi="仿宋" w:eastAsia="仿宋"/>
          <w:sz w:val="32"/>
          <w:szCs w:val="32"/>
        </w:rPr>
      </w:pPr>
      <w:r>
        <w:rPr>
          <w:rFonts w:hint="eastAsia" w:ascii="仿宋" w:hAnsi="仿宋" w:eastAsia="仿宋"/>
          <w:sz w:val="32"/>
          <w:szCs w:val="32"/>
        </w:rPr>
        <w:t>（三）实干争效，着力担当作为</w:t>
      </w:r>
    </w:p>
    <w:p>
      <w:pPr>
        <w:ind w:firstLine="640" w:firstLineChars="200"/>
        <w:rPr>
          <w:rFonts w:ascii="仿宋" w:hAnsi="仿宋" w:eastAsia="仿宋"/>
          <w:sz w:val="32"/>
          <w:szCs w:val="32"/>
        </w:rPr>
      </w:pPr>
      <w:r>
        <w:rPr>
          <w:rFonts w:hint="eastAsia" w:ascii="仿宋" w:hAnsi="仿宋" w:eastAsia="仿宋"/>
          <w:sz w:val="32"/>
          <w:szCs w:val="32"/>
        </w:rPr>
        <w:t>一是强化经济运行监测预警。深化拓展“三争”行动，大兴调查研究之风，深入企业、基层一线开展调查研究，提升经济预警监测分析能力，积极为县委、县政府建言献策，为经济主要经济指标平稳运行提供坚实有力的统计保障，有效助力经济发展。2024年，领导干部坚持以上率下，深入企业、乡（镇）指导统计、普查业务工作400余人次，撰写预警监测分析材料13篇，确定专题调研课题2篇。二是严格落实普法责任，强化统计宣传。促进领导干部知法学法。坚决把做到“两个维护”体现在习近平总书记关于统计工作重要讲话重要指示批示精神中，把学习培训作为增强统计法治意识、提升统计能力和提高统计数据质量的重要举措，常态化深入学习贯彻落实习近平总书记关于统计工作重要论述和中央《意见》《办法》《规定》《监督意见》等有关统计工作重要文件精神，把统计法律法规纳入县（乡）党委政府，相关党组干部学习重要内容。3月20日，统计局主要负责人到在县委党校2024年春季主体培训班为133名参训学员进行了授课，提升领导干部依法治统能力。</w:t>
      </w:r>
    </w:p>
    <w:p>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100分，等级为优，设置绩效目标30个，实际完成30个，具体情况如下：</w:t>
      </w:r>
    </w:p>
    <w:p>
      <w:pPr>
        <w:spacing w:line="620" w:lineRule="exact"/>
        <w:ind w:left="420" w:leftChars="200"/>
        <w:rPr>
          <w:rFonts w:ascii="仿宋" w:hAnsi="仿宋" w:eastAsia="仿宋"/>
          <w:sz w:val="32"/>
          <w:szCs w:val="32"/>
        </w:rPr>
      </w:pPr>
      <w:r>
        <w:rPr>
          <w:rFonts w:ascii="仿宋_GB2312" w:hAnsi="仿宋_GB2312" w:eastAsia="仿宋_GB2312" w:cs="仿宋_GB2312"/>
          <w:b/>
          <w:sz w:val="32"/>
        </w:rPr>
        <w:t>(一) 一般性支出情况</w:t>
      </w:r>
    </w:p>
    <w:p>
      <w:pPr>
        <w:spacing w:line="620" w:lineRule="exact"/>
        <w:ind w:left="420" w:leftChars="200"/>
        <w:rPr>
          <w:rFonts w:ascii="仿宋" w:hAnsi="仿宋" w:eastAsia="仿宋"/>
          <w:sz w:val="32"/>
          <w:szCs w:val="32"/>
        </w:rPr>
      </w:pPr>
      <w:r>
        <w:rPr>
          <w:rFonts w:ascii="仿宋_GB2312" w:hAnsi="仿宋_GB2312" w:eastAsia="仿宋_GB2312" w:cs="仿宋_GB2312"/>
          <w:b/>
          <w:sz w:val="32"/>
        </w:rPr>
        <w:t>1、一般性支出情况</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1)“三公”经费控制率</w:t>
      </w:r>
      <w:r>
        <w:rPr>
          <w:rFonts w:ascii="仿宋" w:hAnsi="仿宋" w:eastAsia="仿宋" w:cs="仿宋"/>
          <w:sz w:val="32"/>
        </w:rPr>
        <w:t>(%)，目标值100，完成值100，分值2，得分2</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2)“三公”经费违规使用次数</w:t>
      </w:r>
      <w:r>
        <w:rPr>
          <w:rFonts w:ascii="仿宋" w:hAnsi="仿宋" w:eastAsia="仿宋" w:cs="仿宋"/>
          <w:sz w:val="32"/>
        </w:rPr>
        <w:t>(次)，目标值0，完成值0，分值2，得分2</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3)会议费、差旅费超标准使用次数</w:t>
      </w:r>
      <w:r>
        <w:rPr>
          <w:rFonts w:ascii="仿宋" w:hAnsi="仿宋" w:eastAsia="仿宋" w:cs="仿宋"/>
          <w:sz w:val="32"/>
        </w:rPr>
        <w:t>(次)，目标值0，完成值0，分值2，得分2</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b/>
          <w:sz w:val="32"/>
        </w:rPr>
        <w:t>(三) 成本指标</w:t>
      </w:r>
    </w:p>
    <w:p>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1)资金使用率</w:t>
      </w:r>
      <w:r>
        <w:rPr>
          <w:rFonts w:ascii="仿宋" w:hAnsi="仿宋" w:eastAsia="仿宋" w:cs="仿宋"/>
          <w:sz w:val="32"/>
        </w:rPr>
        <w:t>(%)，目标值80，完成值80，分值8，得分8</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spacing w:line="620" w:lineRule="exact"/>
        <w:ind w:left="420" w:leftChars="200"/>
        <w:rPr>
          <w:rFonts w:ascii="仿宋" w:hAnsi="仿宋" w:eastAsia="仿宋"/>
          <w:sz w:val="32"/>
          <w:szCs w:val="32"/>
        </w:rPr>
      </w:pPr>
      <w:r>
        <w:rPr>
          <w:rFonts w:ascii="仿宋_GB2312" w:hAnsi="仿宋_GB2312" w:eastAsia="仿宋_GB2312" w:cs="仿宋_GB2312"/>
          <w:b/>
          <w:sz w:val="32"/>
        </w:rPr>
        <w:t>(二) 产出指标</w:t>
      </w:r>
    </w:p>
    <w:p>
      <w:pPr>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1)编发《连城统计月报》期数</w:t>
      </w:r>
      <w:r>
        <w:rPr>
          <w:rFonts w:ascii="仿宋_GB2312" w:hAnsi="仿宋_GB2312" w:eastAsia="仿宋_GB2312" w:cs="仿宋_GB2312"/>
          <w:sz w:val="32"/>
        </w:rPr>
        <w:cr/>
      </w:r>
      <w:r>
        <w:rPr>
          <w:rFonts w:ascii="仿宋" w:hAnsi="仿宋" w:eastAsia="仿宋" w:cs="仿宋"/>
          <w:sz w:val="32"/>
        </w:rPr>
        <w:t>(期)，目标值11，完成值11，分值2，得分2</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2)出版或编印《统计年鉴》</w:t>
      </w:r>
      <w:r>
        <w:rPr>
          <w:rFonts w:ascii="仿宋" w:hAnsi="仿宋" w:eastAsia="仿宋" w:cs="仿宋"/>
          <w:sz w:val="32"/>
        </w:rPr>
        <w:t>(种)，目标值1，完成值1，分值2，得分2</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3)撰写统计分析篇数</w:t>
      </w:r>
      <w:r>
        <w:rPr>
          <w:rFonts w:ascii="仿宋" w:hAnsi="仿宋" w:eastAsia="仿宋" w:cs="仿宋"/>
          <w:sz w:val="32"/>
        </w:rPr>
        <w:t>(篇)，目标值40，完成值52，分值2，得分2</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4)统计业务培训人数</w:t>
      </w:r>
      <w:r>
        <w:rPr>
          <w:rFonts w:ascii="仿宋" w:hAnsi="仿宋" w:eastAsia="仿宋" w:cs="仿宋"/>
          <w:sz w:val="32"/>
        </w:rPr>
        <w:t>(人)，目标值700，完成值841，分值2，得分2</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5)统计监督检查次数</w:t>
      </w:r>
      <w:r>
        <w:rPr>
          <w:rFonts w:ascii="仿宋" w:hAnsi="仿宋" w:eastAsia="仿宋" w:cs="仿宋"/>
          <w:sz w:val="32"/>
        </w:rPr>
        <w:t>(次)，目标值1，完成值1，分值2，得分2</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6)发表、批示数</w:t>
      </w:r>
      <w:r>
        <w:rPr>
          <w:rFonts w:ascii="仿宋" w:hAnsi="仿宋" w:eastAsia="仿宋" w:cs="仿宋"/>
          <w:sz w:val="32"/>
        </w:rPr>
        <w:t>(篇)，目标值3，完成值7，分值2，得分2</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1)省、市、县委领导批示件及县委相关会议定事项办理成效</w:t>
      </w:r>
      <w:r>
        <w:rPr>
          <w:rFonts w:ascii="仿宋" w:hAnsi="仿宋" w:eastAsia="仿宋" w:cs="仿宋"/>
          <w:sz w:val="32"/>
        </w:rPr>
        <w:t>(%)，目标值100，完成值100，分值2，得分2</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2)紧急信息按时报告率</w:t>
      </w:r>
      <w:r>
        <w:rPr>
          <w:rFonts w:ascii="仿宋" w:hAnsi="仿宋" w:eastAsia="仿宋" w:cs="仿宋"/>
          <w:sz w:val="32"/>
        </w:rPr>
        <w:t>(%)，目标值100，完成值100，分值1，得分1</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3)电子政务工作</w:t>
      </w:r>
      <w:r>
        <w:rPr>
          <w:rFonts w:ascii="仿宋" w:hAnsi="仿宋" w:eastAsia="仿宋" w:cs="仿宋"/>
          <w:sz w:val="32"/>
        </w:rPr>
        <w:t>(%)，目标值100，完成值100，分值2，得分2</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4)县人大相关工作落实情况</w:t>
      </w:r>
      <w:r>
        <w:rPr>
          <w:rFonts w:ascii="仿宋" w:hAnsi="仿宋" w:eastAsia="仿宋" w:cs="仿宋"/>
          <w:sz w:val="32"/>
        </w:rPr>
        <w:t>(%)，目标值100，完成值100，分值2，得分2</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5)县政协相关工作落实情况</w:t>
      </w:r>
      <w:r>
        <w:rPr>
          <w:rFonts w:ascii="仿宋" w:hAnsi="仿宋" w:eastAsia="仿宋" w:cs="仿宋"/>
          <w:sz w:val="32"/>
        </w:rPr>
        <w:t>(%)，目标值100，完成值100，分值2，得分2</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6)保密工作落实情况</w:t>
      </w:r>
      <w:r>
        <w:rPr>
          <w:rFonts w:ascii="仿宋" w:hAnsi="仿宋" w:eastAsia="仿宋" w:cs="仿宋"/>
          <w:sz w:val="32"/>
        </w:rPr>
        <w:t>(%)，目标值100，完成值100，分值1，得分1</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7)意识形态工作任务成效</w:t>
      </w:r>
      <w:r>
        <w:rPr>
          <w:rFonts w:ascii="仿宋" w:hAnsi="仿宋" w:eastAsia="仿宋" w:cs="仿宋"/>
          <w:sz w:val="32"/>
        </w:rPr>
        <w:t>(%)，目标值100，完成值100，分值1，得分1</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8)网络舆情应对与处置成效</w:t>
      </w:r>
      <w:r>
        <w:rPr>
          <w:rFonts w:ascii="仿宋" w:hAnsi="仿宋" w:eastAsia="仿宋" w:cs="仿宋"/>
          <w:sz w:val="32"/>
        </w:rPr>
        <w:t>(%)，目标值100，完成值100，分值1，得分1</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9)文明创建工作</w:t>
      </w:r>
      <w:r>
        <w:rPr>
          <w:rFonts w:ascii="仿宋_GB2312" w:hAnsi="仿宋_GB2312" w:eastAsia="仿宋_GB2312" w:cs="仿宋_GB2312"/>
          <w:sz w:val="32"/>
        </w:rPr>
        <w:tab/>
      </w:r>
      <w:r>
        <w:rPr>
          <w:rFonts w:ascii="仿宋_GB2312" w:hAnsi="仿宋_GB2312" w:eastAsia="仿宋_GB2312" w:cs="仿宋_GB2312"/>
          <w:sz w:val="32"/>
        </w:rPr>
        <w:tab/>
      </w:r>
      <w:r>
        <w:rPr>
          <w:rFonts w:ascii="仿宋_GB2312" w:hAnsi="仿宋_GB2312" w:eastAsia="仿宋_GB2312" w:cs="仿宋_GB2312"/>
          <w:sz w:val="32"/>
        </w:rPr>
        <w:tab/>
      </w:r>
      <w:r>
        <w:rPr>
          <w:rFonts w:ascii="仿宋" w:hAnsi="仿宋" w:eastAsia="仿宋" w:cs="仿宋"/>
          <w:sz w:val="32"/>
        </w:rPr>
        <w:t>(%)，目标值100，完成值100，分值1，得分1</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10)财政资金绩效管理工作</w:t>
      </w:r>
      <w:r>
        <w:rPr>
          <w:rFonts w:ascii="仿宋" w:hAnsi="仿宋" w:eastAsia="仿宋" w:cs="仿宋"/>
          <w:sz w:val="32"/>
        </w:rPr>
        <w:t>(%)，目标值100，完成值100，分值1，得分1</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11)清理拖欠民营企业中小企业账款工作</w:t>
      </w:r>
      <w:r>
        <w:rPr>
          <w:rFonts w:ascii="仿宋" w:hAnsi="仿宋" w:eastAsia="仿宋" w:cs="仿宋"/>
          <w:sz w:val="32"/>
        </w:rPr>
        <w:t>(%)，目标值100，完成值100，分值1，得分1</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12)依法行政</w:t>
      </w:r>
      <w:r>
        <w:rPr>
          <w:rFonts w:ascii="仿宋" w:hAnsi="仿宋" w:eastAsia="仿宋" w:cs="仿宋"/>
          <w:sz w:val="32"/>
        </w:rPr>
        <w:t>(%)，目标值100，完成值100，分值1，得分1</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13)法制宣传教育工作</w:t>
      </w:r>
      <w:r>
        <w:rPr>
          <w:rFonts w:ascii="仿宋" w:hAnsi="仿宋" w:eastAsia="仿宋" w:cs="仿宋"/>
          <w:sz w:val="32"/>
        </w:rPr>
        <w:t>(%)，目标值100，完成值100，分值1，得分1</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14)争取项目资金</w:t>
      </w:r>
      <w:r>
        <w:rPr>
          <w:rFonts w:ascii="仿宋" w:hAnsi="仿宋" w:eastAsia="仿宋" w:cs="仿宋"/>
          <w:sz w:val="32"/>
        </w:rPr>
        <w:t>(%)，目标值100，完成值100，分值1，得分1</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15)市队县绩效指标完成成效</w:t>
      </w:r>
      <w:r>
        <w:rPr>
          <w:rFonts w:ascii="仿宋" w:hAnsi="仿宋" w:eastAsia="仿宋" w:cs="仿宋"/>
          <w:sz w:val="32"/>
        </w:rPr>
        <w:t>(%)，目标值100，完成值100，分值1，得分1</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16)精准脱贫成效</w:t>
      </w:r>
      <w:r>
        <w:rPr>
          <w:rFonts w:ascii="仿宋" w:hAnsi="仿宋" w:eastAsia="仿宋" w:cs="仿宋"/>
          <w:sz w:val="32"/>
        </w:rPr>
        <w:t>(%)，目标值100，完成值100，分值1，得分1</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17)党建工作成效</w:t>
      </w:r>
      <w:r>
        <w:rPr>
          <w:rFonts w:ascii="仿宋" w:hAnsi="仿宋" w:eastAsia="仿宋" w:cs="仿宋"/>
          <w:sz w:val="32"/>
        </w:rPr>
        <w:t>(%)，目标值100，完成值100，分值2，得分2</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1)联网直接上报及时率</w:t>
      </w:r>
      <w:r>
        <w:rPr>
          <w:rFonts w:ascii="仿宋" w:hAnsi="仿宋" w:eastAsia="仿宋" w:cs="仿宋"/>
          <w:sz w:val="32"/>
        </w:rPr>
        <w:t>(%)，目标值95，完成值100，分值2，得分2</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b/>
          <w:sz w:val="32"/>
        </w:rPr>
        <w:t>(四) 效益指标</w:t>
      </w:r>
    </w:p>
    <w:p>
      <w:pPr>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1)推进统计法治建设，宣传资料发放受益人数</w:t>
      </w:r>
      <w:r>
        <w:rPr>
          <w:rFonts w:ascii="仿宋_GB2312" w:hAnsi="仿宋_GB2312" w:eastAsia="仿宋_GB2312" w:cs="仿宋_GB2312"/>
          <w:sz w:val="32"/>
        </w:rPr>
        <w:cr/>
      </w:r>
      <w:r>
        <w:rPr>
          <w:rFonts w:ascii="仿宋" w:hAnsi="仿宋" w:eastAsia="仿宋" w:cs="仿宋"/>
          <w:sz w:val="32"/>
        </w:rPr>
        <w:t>(人)，目标值700，完成值8000，分值30，得分30</w:t>
      </w:r>
      <w:r>
        <w:rPr>
          <w:rFonts w:hint="eastAsia" w:ascii="仿宋" w:hAnsi="仿宋" w:eastAsia="仿宋"/>
          <w:sz w:val="32"/>
          <w:szCs w:val="32"/>
        </w:rPr>
        <w:t>。</w:t>
      </w:r>
    </w:p>
    <w:p>
      <w:pPr>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spacing w:line="620" w:lineRule="exact"/>
        <w:ind w:left="420" w:leftChars="200"/>
        <w:rPr>
          <w:rFonts w:ascii="仿宋" w:hAnsi="仿宋" w:eastAsia="仿宋"/>
          <w:sz w:val="32"/>
          <w:szCs w:val="32"/>
        </w:rPr>
      </w:pPr>
      <w:r>
        <w:rPr>
          <w:rFonts w:ascii="仿宋_GB2312" w:hAnsi="仿宋_GB2312" w:eastAsia="仿宋_GB2312" w:cs="仿宋_GB2312"/>
          <w:b/>
          <w:sz w:val="32"/>
        </w:rPr>
        <w:t>(五) 满意度指标</w:t>
      </w:r>
    </w:p>
    <w:p>
      <w:pPr>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spacing w:line="620" w:lineRule="exact"/>
        <w:ind w:left="420" w:leftChars="200"/>
        <w:rPr>
          <w:rFonts w:ascii="仿宋" w:hAnsi="仿宋" w:eastAsia="仿宋"/>
          <w:sz w:val="32"/>
          <w:szCs w:val="32"/>
        </w:rPr>
      </w:pPr>
      <w:r>
        <w:rPr>
          <w:rFonts w:ascii="仿宋_GB2312" w:hAnsi="仿宋_GB2312" w:eastAsia="仿宋_GB2312" w:cs="仿宋_GB2312"/>
          <w:sz w:val="32"/>
        </w:rPr>
        <w:t>1)服务对象对统计局业务的满意度</w:t>
      </w:r>
      <w:r>
        <w:rPr>
          <w:rFonts w:ascii="仿宋_GB2312" w:hAnsi="仿宋_GB2312" w:eastAsia="仿宋_GB2312" w:cs="仿宋_GB2312"/>
          <w:sz w:val="32"/>
        </w:rPr>
        <w:cr/>
      </w:r>
      <w:r>
        <w:rPr>
          <w:rFonts w:ascii="仿宋" w:hAnsi="仿宋" w:eastAsia="仿宋" w:cs="仿宋"/>
          <w:sz w:val="32"/>
        </w:rPr>
        <w:t>(%)，目标值95，完成值100，分值10，得分10</w:t>
      </w:r>
      <w:r>
        <w:rPr>
          <w:rFonts w:hint="eastAsia" w:ascii="仿宋" w:hAnsi="仿宋" w:eastAsia="仿宋"/>
          <w:sz w:val="32"/>
          <w:szCs w:val="32"/>
        </w:rPr>
        <w:t>。</w:t>
      </w:r>
    </w:p>
    <w:p>
      <w:pPr>
        <w:tabs>
          <w:tab w:val="left" w:pos="2244"/>
        </w:tabs>
        <w:spacing w:line="620" w:lineRule="exact"/>
        <w:ind w:left="1890" w:leftChars="900"/>
        <w:rPr>
          <w:rFonts w:ascii="仿宋" w:hAnsi="仿宋" w:eastAsia="仿宋"/>
          <w:b/>
          <w:color w:val="FF0000"/>
          <w:sz w:val="32"/>
          <w:szCs w:val="32"/>
        </w:rPr>
      </w:pPr>
    </w:p>
    <w:p>
      <w:pPr>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ind w:left="840" w:firstLine="420"/>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center" w:pos="4153"/>
        <w:tab w:val="right" w:pos="8306"/>
      </w:tabs>
      <w:jc w:val="center"/>
    </w:pPr>
    <w:r>
      <w:fldChar w:fldCharType="begin"/>
    </w:r>
    <w:r>
      <w:instrText xml:space="preserve"> PAGE   \* MERGEFORMAT </w:instrText>
    </w:r>
    <w:r>
      <w:fldChar w:fldCharType="separate"/>
    </w:r>
    <w:r>
      <w:rPr>
        <w:lang w:val="zh-CN"/>
      </w:rPr>
      <w:t>1</w:t>
    </w:r>
    <w:r>
      <w:rPr>
        <w:lang w:val="zh-CN"/>
      </w:rPr>
      <w:fldChar w:fldCharType="end"/>
    </w:r>
  </w:p>
  <w:p>
    <w:pPr>
      <w:pStyle w:val="2"/>
      <w:tabs>
        <w:tab w:val="center" w:pos="4153"/>
        <w:tab w:val="right" w:pos="8306"/>
      </w:tabs>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1ODQwZDA3MzlmYjZiOGU0N2YwMGM4OWU3NjFhMjIifQ=="/>
  </w:docVars>
  <w:rsids>
    <w:rsidRoot w:val="71776F75"/>
    <w:rsid w:val="000F778B"/>
    <w:rsid w:val="00756FEA"/>
    <w:rsid w:val="00D463C2"/>
    <w:rsid w:val="07FB4740"/>
    <w:rsid w:val="23CB59FE"/>
    <w:rsid w:val="2FB91F6D"/>
    <w:rsid w:val="35F966DB"/>
    <w:rsid w:val="40D05D8A"/>
    <w:rsid w:val="412D21C1"/>
    <w:rsid w:val="43790164"/>
    <w:rsid w:val="45632027"/>
    <w:rsid w:val="4F013EC3"/>
    <w:rsid w:val="58C90448"/>
    <w:rsid w:val="5D717F91"/>
    <w:rsid w:val="6BEC25EA"/>
    <w:rsid w:val="71776F75"/>
    <w:rsid w:val="77715EB5"/>
    <w:rsid w:val="7FF45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snapToGrid w:val="0"/>
      <w:jc w:val="left"/>
    </w:pPr>
    <w:rPr>
      <w:sz w:val="18"/>
      <w:szCs w:val="18"/>
    </w:rPr>
  </w:style>
  <w:style w:type="paragraph" w:styleId="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2722</Words>
  <Characters>2961</Characters>
  <Lines>5</Lines>
  <Paragraphs>1</Paragraphs>
  <TotalTime>2</TotalTime>
  <ScaleCrop>false</ScaleCrop>
  <LinksUpToDate>false</LinksUpToDate>
  <CharactersWithSpaces>2975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2022-03-03T08:53:00Z</dcterms:created>
  <dc:creator>86176</dc:creator>
  <cp:lastModifiedBy>Administrator</cp:lastModifiedBy>
  <dcterms:modified xsi:type="dcterms:W3CDTF">2025-02-18T02:55:53Z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1296ABA3C8BD41D6B290BB82A6BBBB0B</vt:lpwstr>
  </property>
</Properties>
</file>