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22CEDD">
      <w:pPr>
        <w:rPr>
          <w:rFonts w:hint="eastAsia" w:ascii="黑体" w:hAnsi="黑体" w:eastAsia="黑体"/>
          <w:lang w:val="en-US" w:eastAsia="zh-CN"/>
        </w:rPr>
      </w:pPr>
      <w:r>
        <w:rPr>
          <w:rFonts w:hint="eastAsia" w:ascii="黑体" w:hAnsi="黑体" w:eastAsia="黑体"/>
          <w:lang w:val="en-US" w:eastAsia="zh-CN"/>
        </w:rPr>
        <w:t xml:space="preserve">           </w:t>
      </w:r>
      <w:r>
        <w:rPr>
          <w:rFonts w:hint="eastAsia" w:ascii="宋体" w:hAnsi="宋体" w:eastAsia="宋体" w:cs="Arial"/>
          <w:b/>
          <w:bCs/>
          <w:sz w:val="36"/>
          <w:szCs w:val="36"/>
          <w:lang w:val="en-US" w:eastAsia="zh-CN"/>
        </w:rPr>
        <w:t>福建省连城农民创业园管理委员会</w:t>
      </w:r>
    </w:p>
    <w:p w14:paraId="5E269B39">
      <w:pPr>
        <w:jc w:val="center"/>
        <w:rPr>
          <w:rFonts w:ascii="Arial" w:hAnsi="Arial" w:eastAsia="宋体" w:cs="Arial"/>
          <w:b/>
          <w:bCs/>
          <w:sz w:val="36"/>
          <w:szCs w:val="36"/>
        </w:rPr>
      </w:pPr>
      <w:r>
        <w:rPr>
          <w:rFonts w:hint="eastAsia" w:ascii="宋体" w:hAnsi="宋体" w:eastAsia="宋体" w:cs="Arial"/>
          <w:b/>
          <w:bCs/>
          <w:sz w:val="36"/>
          <w:szCs w:val="36"/>
        </w:rPr>
        <w:t>项目支出部门</w:t>
      </w:r>
      <w:r>
        <w:rPr>
          <w:rFonts w:ascii="宋体" w:hAnsi="宋体" w:eastAsia="宋体" w:cs="Arial"/>
          <w:b/>
          <w:bCs/>
          <w:sz w:val="36"/>
          <w:szCs w:val="36"/>
        </w:rPr>
        <w:t>绩效</w:t>
      </w:r>
      <w:r>
        <w:rPr>
          <w:rFonts w:hint="eastAsia" w:ascii="宋体" w:hAnsi="宋体" w:eastAsia="宋体" w:cs="Arial"/>
          <w:b/>
          <w:bCs/>
          <w:sz w:val="36"/>
          <w:szCs w:val="36"/>
        </w:rPr>
        <w:t>评价报告</w:t>
      </w:r>
    </w:p>
    <w:p w14:paraId="24D455CF">
      <w:pPr>
        <w:spacing w:line="600" w:lineRule="exact"/>
        <w:ind w:firstLine="600" w:firstLineChars="200"/>
        <w:rPr>
          <w:rFonts w:ascii="黑体" w:hAnsi="黑体" w:eastAsia="黑体"/>
        </w:rPr>
      </w:pPr>
      <w:r>
        <w:rPr>
          <w:rFonts w:hint="eastAsia" w:ascii="黑体" w:hAnsi="黑体" w:eastAsia="黑体"/>
        </w:rPr>
        <w:t>一、基本情况</w:t>
      </w:r>
    </w:p>
    <w:p w14:paraId="36C2D061">
      <w:pPr>
        <w:ind w:firstLine="300" w:firstLineChars="100"/>
        <w:rPr>
          <w:rFonts w:hint="eastAsia" w:ascii="仿宋_GB2312"/>
        </w:rPr>
      </w:pPr>
      <w:r>
        <w:rPr>
          <w:rFonts w:hint="eastAsia" w:ascii="仿宋_GB2312"/>
        </w:rPr>
        <w:t>（一）项目概况。</w:t>
      </w:r>
    </w:p>
    <w:p w14:paraId="38F9DC41">
      <w:pPr>
        <w:ind w:firstLine="640" w:firstLineChars="200"/>
        <w:rPr>
          <w:rFonts w:ascii="仿宋_GB2312"/>
        </w:rPr>
      </w:pPr>
      <w:r>
        <w:rPr>
          <w:rFonts w:hint="eastAsia" w:ascii="仿宋" w:hAnsi="仿宋" w:eastAsia="仿宋"/>
          <w:sz w:val="32"/>
          <w:szCs w:val="32"/>
        </w:rPr>
        <w:t>2024年，为发展我县富硒农业产业，县财政安排预算资金</w:t>
      </w:r>
      <w:r>
        <w:rPr>
          <w:rFonts w:hint="eastAsia" w:ascii="仿宋" w:hAnsi="仿宋" w:eastAsia="仿宋"/>
          <w:sz w:val="32"/>
          <w:szCs w:val="32"/>
          <w:lang w:val="en-US" w:eastAsia="zh-CN"/>
        </w:rPr>
        <w:t>1</w:t>
      </w:r>
      <w:r>
        <w:rPr>
          <w:rFonts w:hint="eastAsia" w:ascii="仿宋" w:hAnsi="仿宋" w:eastAsia="仿宋"/>
          <w:sz w:val="32"/>
          <w:szCs w:val="32"/>
        </w:rPr>
        <w:t>00万元。主要工作任务是：继续做好富硒农业产业的检验检测、试验示范、基础研究、产品研发、宣传策划、平台建设、品牌打造等方面工作，同时鼓励富硒农业企业、农民合作社、家庭农场等经营主体发展富硒农业产业，并对其富硒基地建设、产品开发、包装设计、品牌宣传、市场营销等方面给予资金扶持。</w:t>
      </w:r>
      <w:r>
        <w:rPr>
          <w:rFonts w:ascii="仿宋" w:hAnsi="仿宋" w:eastAsia="仿宋" w:cs="仿宋"/>
          <w:sz w:val="32"/>
        </w:rPr>
        <w:t xml:space="preserve"> </w:t>
      </w:r>
    </w:p>
    <w:p w14:paraId="02D74821">
      <w:pPr>
        <w:spacing w:line="600" w:lineRule="exact"/>
        <w:ind w:firstLine="600" w:firstLineChars="200"/>
        <w:rPr>
          <w:rFonts w:ascii="仿宋_GB2312"/>
        </w:rPr>
      </w:pPr>
      <w:r>
        <w:rPr>
          <w:rFonts w:hint="eastAsia" w:ascii="仿宋_GB2312"/>
        </w:rPr>
        <w:t>（二）项目绩效目标。着力打造“中国客家硒都”地域品牌和“莲乡西遇”区域公共品牌，努力构建“集科技研发应用、循环农业示范、农业观光旅游、健康养生普及于一体，一二三产业深度融合发展的富硒农业产业典范，建成省内著名、国内知名的富硒现代循环农业示范县”的富硒产业发展格局，2024年，新建立富硒产品生产基地1万亩，打造全国知名富硒产品2个，全省著名富硒产品4个，从业人员达3万人，实现产值75亿元以上。</w:t>
      </w:r>
    </w:p>
    <w:p w14:paraId="21E9E01D">
      <w:pPr>
        <w:spacing w:line="600" w:lineRule="exact"/>
        <w:ind w:firstLine="600" w:firstLineChars="200"/>
        <w:rPr>
          <w:rFonts w:ascii="黑体" w:hAnsi="黑体" w:eastAsia="黑体"/>
        </w:rPr>
      </w:pPr>
      <w:r>
        <w:rPr>
          <w:rFonts w:hint="eastAsia" w:ascii="黑体" w:hAnsi="黑体" w:eastAsia="黑体"/>
        </w:rPr>
        <w:t>二、绩效评价工作开展情况</w:t>
      </w:r>
    </w:p>
    <w:p w14:paraId="2EE33596">
      <w:pPr>
        <w:spacing w:line="600" w:lineRule="exact"/>
        <w:ind w:firstLine="600" w:firstLineChars="200"/>
        <w:outlineLvl w:val="0"/>
        <w:rPr>
          <w:rFonts w:hint="eastAsia" w:ascii="仿宋_GB2312"/>
        </w:rPr>
      </w:pPr>
      <w:r>
        <w:rPr>
          <w:rFonts w:hint="eastAsia" w:ascii="仿宋_GB2312"/>
        </w:rPr>
        <w:t>（一）绩效评价目的</w:t>
      </w:r>
      <w:r>
        <w:rPr>
          <w:rFonts w:hint="eastAsia" w:ascii="仿宋_GB2312"/>
          <w:lang w:eastAsia="zh-CN"/>
        </w:rPr>
        <w:t>是提高资金的使用效率，促进富硒产业快速发展</w:t>
      </w:r>
      <w:r>
        <w:rPr>
          <w:rFonts w:hint="eastAsia" w:ascii="仿宋_GB2312"/>
        </w:rPr>
        <w:t>、对</w:t>
      </w:r>
      <w:r>
        <w:rPr>
          <w:rFonts w:hint="eastAsia" w:ascii="仿宋_GB2312"/>
          <w:lang w:eastAsia="zh-CN"/>
        </w:rPr>
        <w:t>富硒农业产业项目开展绩效评价</w:t>
      </w:r>
      <w:r>
        <w:rPr>
          <w:rFonts w:hint="eastAsia" w:ascii="仿宋_GB2312"/>
        </w:rPr>
        <w:t>。</w:t>
      </w:r>
    </w:p>
    <w:p w14:paraId="5F92903C">
      <w:pPr>
        <w:spacing w:line="600" w:lineRule="exact"/>
        <w:ind w:firstLine="600" w:firstLineChars="200"/>
        <w:rPr>
          <w:rFonts w:hint="eastAsia" w:ascii="仿宋_GB2312"/>
          <w:lang w:eastAsia="zh-CN"/>
        </w:rPr>
      </w:pPr>
      <w:r>
        <w:rPr>
          <w:rFonts w:hint="eastAsia" w:ascii="仿宋_GB2312"/>
        </w:rPr>
        <w:t>（二）绩效评价</w:t>
      </w:r>
      <w:r>
        <w:rPr>
          <w:rFonts w:hint="eastAsia" w:ascii="仿宋_GB2312"/>
          <w:lang w:eastAsia="zh-CN"/>
        </w:rPr>
        <w:t>采用科学公正</w:t>
      </w:r>
      <w:r>
        <w:rPr>
          <w:rFonts w:hint="eastAsia" w:ascii="仿宋_GB2312"/>
        </w:rPr>
        <w:t>原则、</w:t>
      </w:r>
      <w:r>
        <w:rPr>
          <w:rFonts w:hint="eastAsia" w:ascii="仿宋_GB2312"/>
          <w:lang w:eastAsia="zh-CN"/>
        </w:rPr>
        <w:t>统筹兼顾原则、激励约束原则、公开透明原则。</w:t>
      </w:r>
      <w:r>
        <w:rPr>
          <w:rFonts w:hint="eastAsia" w:ascii="仿宋_GB2312"/>
        </w:rPr>
        <w:t>评价指标</w:t>
      </w:r>
      <w:r>
        <w:rPr>
          <w:rFonts w:hint="eastAsia" w:ascii="仿宋_GB2312"/>
          <w:lang w:eastAsia="zh-CN"/>
        </w:rPr>
        <w:t>包括：经济成本指标</w:t>
      </w:r>
      <w:r>
        <w:rPr>
          <w:rFonts w:hint="eastAsia" w:ascii="仿宋_GB2312"/>
        </w:rPr>
        <w:t>、</w:t>
      </w:r>
      <w:r>
        <w:rPr>
          <w:rFonts w:hint="eastAsia" w:ascii="仿宋_GB2312"/>
          <w:lang w:val="en-US" w:eastAsia="zh-CN"/>
        </w:rPr>
        <w:t>经济效益指标、社会效益指标、生态效益指标、服务对象满意度指标等。</w:t>
      </w:r>
      <w:r>
        <w:rPr>
          <w:rFonts w:hint="eastAsia" w:ascii="仿宋_GB2312"/>
          <w:lang w:eastAsia="zh-CN"/>
        </w:rPr>
        <w:t>评价方法：统计法。评价标准：</w:t>
      </w:r>
      <w:r>
        <w:rPr>
          <w:rFonts w:hint="eastAsia" w:ascii="仿宋_GB2312"/>
          <w:lang w:val="en-US" w:eastAsia="zh-CN"/>
        </w:rPr>
        <w:t>达到或超过目标得指标分，未达到目标值的，（完成数量/目标数量）*指标分等</w:t>
      </w:r>
      <w:r>
        <w:rPr>
          <w:rFonts w:hint="eastAsia" w:ascii="仿宋_GB2312"/>
          <w:lang w:eastAsia="zh-CN"/>
        </w:rPr>
        <w:t>。</w:t>
      </w:r>
    </w:p>
    <w:p w14:paraId="1D458E20">
      <w:pPr>
        <w:spacing w:line="600" w:lineRule="exact"/>
        <w:ind w:firstLine="600" w:firstLineChars="200"/>
        <w:rPr>
          <w:rFonts w:hint="eastAsia" w:ascii="仿宋_GB2312"/>
          <w:lang w:eastAsia="zh-CN"/>
        </w:rPr>
      </w:pPr>
      <w:r>
        <w:rPr>
          <w:rFonts w:hint="eastAsia" w:ascii="仿宋_GB2312"/>
        </w:rPr>
        <w:t>（三）绩效评价工作过程</w:t>
      </w:r>
      <w:r>
        <w:rPr>
          <w:rFonts w:hint="eastAsia" w:ascii="仿宋_GB2312"/>
          <w:lang w:eastAsia="zh-CN"/>
        </w:rPr>
        <w:t>：</w:t>
      </w:r>
    </w:p>
    <w:p w14:paraId="439373B0">
      <w:pPr>
        <w:spacing w:line="600" w:lineRule="exact"/>
        <w:ind w:firstLine="600" w:firstLineChars="200"/>
        <w:rPr>
          <w:rFonts w:hint="eastAsia" w:ascii="仿宋_GB2312"/>
          <w:lang w:val="en-US" w:eastAsia="zh-CN"/>
        </w:rPr>
      </w:pPr>
      <w:r>
        <w:rPr>
          <w:rFonts w:hint="eastAsia" w:ascii="仿宋_GB2312"/>
          <w:lang w:val="en-US" w:eastAsia="zh-CN"/>
        </w:rPr>
        <w:t>1、评价准备阶段：制定绩效评价标准；确定绩效评价是为了检验目标完成度、改进管理、评估可持续性等。</w:t>
      </w:r>
    </w:p>
    <w:p w14:paraId="746CEA34">
      <w:pPr>
        <w:spacing w:line="600" w:lineRule="exact"/>
        <w:ind w:firstLine="600" w:firstLineChars="200"/>
        <w:rPr>
          <w:rFonts w:hint="eastAsia" w:ascii="仿宋_GB2312"/>
          <w:lang w:val="en-US" w:eastAsia="zh-CN"/>
        </w:rPr>
      </w:pPr>
      <w:r>
        <w:rPr>
          <w:rFonts w:hint="eastAsia" w:ascii="仿宋_GB2312"/>
          <w:lang w:val="en-US" w:eastAsia="zh-CN"/>
        </w:rPr>
        <w:t>2、数据收集与分析阶段：数据收集，运用统计分析、对比分析等方法，将实际数据与计划目标、标准进行比较。</w:t>
      </w:r>
    </w:p>
    <w:p w14:paraId="10C7BBE2">
      <w:pPr>
        <w:spacing w:line="600" w:lineRule="exact"/>
        <w:ind w:firstLine="600" w:firstLineChars="200"/>
        <w:rPr>
          <w:rFonts w:hint="eastAsia" w:ascii="仿宋_GB2312"/>
          <w:lang w:val="en-US" w:eastAsia="zh-CN"/>
        </w:rPr>
      </w:pPr>
      <w:r>
        <w:rPr>
          <w:rFonts w:hint="eastAsia" w:ascii="仿宋_GB2312"/>
          <w:lang w:val="en-US" w:eastAsia="zh-CN"/>
        </w:rPr>
        <w:t>3、评价实施与结论形成阶段：开展评价工作，生产评价结论，形成改进意见与建议。</w:t>
      </w:r>
    </w:p>
    <w:p w14:paraId="56892C1A">
      <w:pPr>
        <w:spacing w:line="600" w:lineRule="exact"/>
        <w:ind w:firstLine="600" w:firstLineChars="200"/>
        <w:rPr>
          <w:rFonts w:ascii="仿宋_GB2312"/>
        </w:rPr>
      </w:pPr>
      <w:r>
        <w:rPr>
          <w:rFonts w:hint="eastAsia" w:ascii="黑体" w:hAnsi="黑体" w:eastAsia="黑体"/>
        </w:rPr>
        <w:t>三、综合评价情况及评价结论</w:t>
      </w:r>
    </w:p>
    <w:tbl>
      <w:tblPr>
        <w:tblStyle w:val="4"/>
        <w:tblW w:w="940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39"/>
        <w:gridCol w:w="681"/>
        <w:gridCol w:w="974"/>
        <w:gridCol w:w="673"/>
        <w:gridCol w:w="1635"/>
        <w:gridCol w:w="675"/>
        <w:gridCol w:w="660"/>
        <w:gridCol w:w="2370"/>
        <w:gridCol w:w="1095"/>
      </w:tblGrid>
      <w:tr w14:paraId="2A011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trPr>
        <w:tc>
          <w:tcPr>
            <w:tcW w:w="639" w:type="dxa"/>
            <w:tcBorders>
              <w:top w:val="single" w:color="auto" w:sz="4" w:space="0"/>
              <w:left w:val="single" w:color="auto" w:sz="4" w:space="0"/>
              <w:bottom w:val="single" w:color="auto" w:sz="4" w:space="0"/>
              <w:right w:val="single" w:color="000000" w:sz="4" w:space="0"/>
            </w:tcBorders>
            <w:shd w:val="clear" w:color="auto" w:fill="auto"/>
            <w:textDirection w:val="tbRlV"/>
            <w:vAlign w:val="center"/>
          </w:tcPr>
          <w:p w14:paraId="56353AC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绩效指标</w:t>
            </w:r>
          </w:p>
        </w:tc>
        <w:tc>
          <w:tcPr>
            <w:tcW w:w="681" w:type="dxa"/>
            <w:tcBorders>
              <w:top w:val="single" w:color="auto" w:sz="4" w:space="0"/>
              <w:left w:val="single" w:color="000000" w:sz="4" w:space="0"/>
              <w:bottom w:val="single" w:color="auto" w:sz="4" w:space="0"/>
              <w:right w:val="single" w:color="000000" w:sz="4" w:space="0"/>
            </w:tcBorders>
            <w:shd w:val="clear" w:color="auto" w:fill="auto"/>
            <w:vAlign w:val="center"/>
          </w:tcPr>
          <w:p w14:paraId="32ABFDB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974" w:type="dxa"/>
            <w:tcBorders>
              <w:top w:val="single" w:color="auto" w:sz="4" w:space="0"/>
              <w:left w:val="single" w:color="000000" w:sz="4" w:space="0"/>
              <w:bottom w:val="single" w:color="auto" w:sz="4" w:space="0"/>
              <w:right w:val="single" w:color="000000" w:sz="4" w:space="0"/>
            </w:tcBorders>
            <w:shd w:val="clear" w:color="auto" w:fill="auto"/>
            <w:vAlign w:val="center"/>
          </w:tcPr>
          <w:p w14:paraId="4EE08D5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673" w:type="dxa"/>
            <w:tcBorders>
              <w:top w:val="single" w:color="auto" w:sz="4" w:space="0"/>
              <w:left w:val="single" w:color="000000" w:sz="4" w:space="0"/>
              <w:bottom w:val="single" w:color="auto" w:sz="4" w:space="0"/>
              <w:right w:val="single" w:color="000000" w:sz="4" w:space="0"/>
            </w:tcBorders>
            <w:shd w:val="clear" w:color="auto" w:fill="auto"/>
            <w:vAlign w:val="center"/>
          </w:tcPr>
          <w:p w14:paraId="67696E0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1635" w:type="dxa"/>
            <w:tcBorders>
              <w:top w:val="single" w:color="auto" w:sz="4" w:space="0"/>
              <w:left w:val="single" w:color="000000" w:sz="4" w:space="0"/>
              <w:bottom w:val="single" w:color="auto" w:sz="4" w:space="0"/>
              <w:right w:val="single" w:color="000000" w:sz="4" w:space="0"/>
            </w:tcBorders>
            <w:shd w:val="clear" w:color="auto" w:fill="auto"/>
            <w:vAlign w:val="center"/>
          </w:tcPr>
          <w:p w14:paraId="008702D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w:t>
            </w:r>
            <w:r>
              <w:rPr>
                <w:rStyle w:val="9"/>
                <w:lang w:val="en-US" w:eastAsia="zh-CN" w:bidi="ar"/>
              </w:rPr>
              <w:t>解释</w:t>
            </w:r>
          </w:p>
        </w:tc>
        <w:tc>
          <w:tcPr>
            <w:tcW w:w="675" w:type="dxa"/>
            <w:tcBorders>
              <w:top w:val="single" w:color="auto" w:sz="4" w:space="0"/>
              <w:left w:val="single" w:color="000000" w:sz="4" w:space="0"/>
              <w:bottom w:val="single" w:color="auto" w:sz="4" w:space="0"/>
              <w:right w:val="single" w:color="000000" w:sz="4" w:space="0"/>
            </w:tcBorders>
            <w:shd w:val="clear" w:color="auto" w:fill="auto"/>
            <w:vAlign w:val="center"/>
          </w:tcPr>
          <w:p w14:paraId="350C557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参考分值</w:t>
            </w:r>
          </w:p>
        </w:tc>
        <w:tc>
          <w:tcPr>
            <w:tcW w:w="660" w:type="dxa"/>
            <w:tcBorders>
              <w:top w:val="single" w:color="auto" w:sz="4" w:space="0"/>
              <w:left w:val="single" w:color="000000" w:sz="4" w:space="0"/>
              <w:bottom w:val="single" w:color="auto" w:sz="4" w:space="0"/>
              <w:right w:val="single" w:color="000000" w:sz="4" w:space="0"/>
            </w:tcBorders>
            <w:shd w:val="clear" w:color="auto" w:fill="auto"/>
            <w:vAlign w:val="center"/>
          </w:tcPr>
          <w:p w14:paraId="4E7D661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评价分值</w:t>
            </w:r>
          </w:p>
        </w:tc>
        <w:tc>
          <w:tcPr>
            <w:tcW w:w="2370" w:type="dxa"/>
            <w:tcBorders>
              <w:top w:val="single" w:color="auto" w:sz="4" w:space="0"/>
              <w:left w:val="single" w:color="000000" w:sz="4" w:space="0"/>
              <w:bottom w:val="single" w:color="auto" w:sz="4" w:space="0"/>
            </w:tcBorders>
            <w:shd w:val="clear" w:color="auto" w:fill="auto"/>
            <w:vAlign w:val="center"/>
          </w:tcPr>
          <w:p w14:paraId="6F713D4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指标说明</w:t>
            </w:r>
          </w:p>
        </w:tc>
        <w:tc>
          <w:tcPr>
            <w:tcW w:w="1095" w:type="dxa"/>
            <w:tcBorders>
              <w:top w:val="single" w:color="auto" w:sz="4" w:space="0"/>
              <w:left w:val="single" w:color="000000" w:sz="4" w:space="0"/>
              <w:bottom w:val="single" w:color="auto" w:sz="4" w:space="0"/>
              <w:right w:val="single" w:color="auto" w:sz="4" w:space="0"/>
            </w:tcBorders>
            <w:shd w:val="clear" w:color="auto" w:fill="auto"/>
            <w:vAlign w:val="center"/>
          </w:tcPr>
          <w:p w14:paraId="6E6DA69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指标评分说明</w:t>
            </w:r>
          </w:p>
        </w:tc>
      </w:tr>
      <w:tr w14:paraId="546EC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041" w:hRule="atLeast"/>
        </w:trPr>
        <w:tc>
          <w:tcPr>
            <w:tcW w:w="639"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14:paraId="4FB20FA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共性绩效指标（40分）</w:t>
            </w:r>
          </w:p>
        </w:tc>
        <w:tc>
          <w:tcPr>
            <w:tcW w:w="681" w:type="dxa"/>
            <w:vMerge w:val="restart"/>
            <w:tcBorders>
              <w:top w:val="single" w:color="auto" w:sz="4" w:space="0"/>
              <w:left w:val="single" w:color="000000" w:sz="4" w:space="0"/>
              <w:right w:val="single" w:color="000000" w:sz="4" w:space="0"/>
            </w:tcBorders>
            <w:shd w:val="clear" w:color="auto" w:fill="auto"/>
            <w:vAlign w:val="center"/>
          </w:tcPr>
          <w:p w14:paraId="5C1C676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w:t>
            </w:r>
          </w:p>
        </w:tc>
        <w:tc>
          <w:tcPr>
            <w:tcW w:w="974" w:type="dxa"/>
            <w:vMerge w:val="restart"/>
            <w:tcBorders>
              <w:top w:val="single" w:color="auto" w:sz="4" w:space="0"/>
              <w:left w:val="single" w:color="000000" w:sz="4" w:space="0"/>
              <w:right w:val="single" w:color="000000" w:sz="4" w:space="0"/>
            </w:tcBorders>
            <w:shd w:val="clear" w:color="auto" w:fill="auto"/>
            <w:vAlign w:val="center"/>
          </w:tcPr>
          <w:p w14:paraId="6E6B667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项目立项</w:t>
            </w:r>
          </w:p>
        </w:tc>
        <w:tc>
          <w:tcPr>
            <w:tcW w:w="673" w:type="dxa"/>
            <w:tcBorders>
              <w:top w:val="single" w:color="auto" w:sz="4" w:space="0"/>
              <w:left w:val="single" w:color="000000" w:sz="4" w:space="0"/>
              <w:right w:val="single" w:color="000000" w:sz="4" w:space="0"/>
            </w:tcBorders>
            <w:shd w:val="clear" w:color="auto" w:fill="auto"/>
            <w:vAlign w:val="center"/>
          </w:tcPr>
          <w:p w14:paraId="59E6E0C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立项依据充分性</w:t>
            </w:r>
          </w:p>
        </w:tc>
        <w:tc>
          <w:tcPr>
            <w:tcW w:w="1635" w:type="dxa"/>
            <w:tcBorders>
              <w:top w:val="single" w:color="auto" w:sz="4" w:space="0"/>
              <w:left w:val="single" w:color="000000" w:sz="4" w:space="0"/>
              <w:bottom w:val="single" w:color="000000" w:sz="4" w:space="0"/>
              <w:right w:val="single" w:color="000000" w:sz="4" w:space="0"/>
            </w:tcBorders>
            <w:shd w:val="clear" w:color="auto" w:fill="auto"/>
            <w:vAlign w:val="center"/>
          </w:tcPr>
          <w:p w14:paraId="0EB2911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项目立项是符合法律法规、相关政策、发展规划以及部门职责，用以反映和考核项目立项依据情况。</w:t>
            </w:r>
          </w:p>
        </w:tc>
        <w:tc>
          <w:tcPr>
            <w:tcW w:w="675" w:type="dxa"/>
            <w:tcBorders>
              <w:top w:val="single" w:color="auto" w:sz="4" w:space="0"/>
              <w:left w:val="single" w:color="000000" w:sz="4" w:space="0"/>
              <w:bottom w:val="single" w:color="000000" w:sz="4" w:space="0"/>
              <w:right w:val="single" w:color="000000" w:sz="4" w:space="0"/>
            </w:tcBorders>
            <w:shd w:val="clear" w:color="auto" w:fill="auto"/>
            <w:vAlign w:val="center"/>
          </w:tcPr>
          <w:p w14:paraId="45C4B86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660" w:type="dxa"/>
            <w:tcBorders>
              <w:top w:val="single" w:color="auto" w:sz="4" w:space="0"/>
              <w:left w:val="single" w:color="000000" w:sz="4" w:space="0"/>
              <w:bottom w:val="single" w:color="000000" w:sz="4" w:space="0"/>
              <w:right w:val="single" w:color="000000" w:sz="4" w:space="0"/>
            </w:tcBorders>
            <w:shd w:val="clear" w:color="auto" w:fill="auto"/>
            <w:vAlign w:val="center"/>
          </w:tcPr>
          <w:p w14:paraId="508A437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370" w:type="dxa"/>
            <w:tcBorders>
              <w:top w:val="single" w:color="auto" w:sz="4" w:space="0"/>
              <w:left w:val="single" w:color="000000" w:sz="4" w:space="0"/>
              <w:bottom w:val="single" w:color="000000" w:sz="4" w:space="0"/>
              <w:right w:val="single" w:color="000000" w:sz="4" w:space="0"/>
            </w:tcBorders>
            <w:shd w:val="clear" w:color="auto" w:fill="auto"/>
            <w:vAlign w:val="center"/>
          </w:tcPr>
          <w:p w14:paraId="0F8DFBD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评价要点： ①项目立项是否符合国家法律法规、国民经济发展规划和相关政策； ②项目立项是否符合行业发展规划和政策要求； ③项目立项是否与部门职责范围相符，属于部门履职所需； ④项目是否属于公共财政支持范围，是否符合中央、地方事权支出责任划分原则； ⑤项目是否与相关部门同类项目或部门内部相关项目重复。</w:t>
            </w:r>
          </w:p>
        </w:tc>
        <w:tc>
          <w:tcPr>
            <w:tcW w:w="1095" w:type="dxa"/>
            <w:tcBorders>
              <w:top w:val="single" w:color="auto" w:sz="4" w:space="0"/>
              <w:left w:val="single" w:color="000000" w:sz="4" w:space="0"/>
              <w:bottom w:val="single" w:color="000000" w:sz="4" w:space="0"/>
              <w:right w:val="single" w:color="000000" w:sz="4" w:space="0"/>
            </w:tcBorders>
            <w:shd w:val="clear" w:color="auto" w:fill="auto"/>
            <w:vAlign w:val="center"/>
          </w:tcPr>
          <w:p w14:paraId="4DE2901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若有一项不符扣1分，若存在严重不符的情况则不得分。</w:t>
            </w:r>
          </w:p>
        </w:tc>
      </w:tr>
      <w:tr w14:paraId="60B0A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66"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ADAFC48">
            <w:pPr>
              <w:jc w:val="center"/>
              <w:rPr>
                <w:rFonts w:hint="eastAsia" w:ascii="宋体" w:hAnsi="宋体" w:eastAsia="宋体" w:cs="宋体"/>
                <w:i w:val="0"/>
                <w:color w:val="000000"/>
                <w:sz w:val="24"/>
                <w:szCs w:val="24"/>
                <w:u w:val="none"/>
              </w:rPr>
            </w:pPr>
          </w:p>
        </w:tc>
        <w:tc>
          <w:tcPr>
            <w:tcW w:w="681" w:type="dxa"/>
            <w:vMerge w:val="continue"/>
            <w:tcBorders>
              <w:top w:val="single" w:color="000000" w:sz="4" w:space="0"/>
              <w:left w:val="single" w:color="000000" w:sz="4" w:space="0"/>
              <w:right w:val="single" w:color="000000" w:sz="4" w:space="0"/>
            </w:tcBorders>
            <w:shd w:val="clear" w:color="auto" w:fill="auto"/>
            <w:vAlign w:val="center"/>
          </w:tcPr>
          <w:p w14:paraId="4132E324">
            <w:pPr>
              <w:jc w:val="center"/>
              <w:rPr>
                <w:rFonts w:hint="eastAsia" w:ascii="宋体" w:hAnsi="宋体" w:eastAsia="宋体" w:cs="宋体"/>
                <w:i w:val="0"/>
                <w:color w:val="000000"/>
                <w:sz w:val="24"/>
                <w:szCs w:val="24"/>
                <w:u w:val="none"/>
              </w:rPr>
            </w:pPr>
          </w:p>
        </w:tc>
        <w:tc>
          <w:tcPr>
            <w:tcW w:w="974" w:type="dxa"/>
            <w:vMerge w:val="continue"/>
            <w:tcBorders>
              <w:top w:val="single" w:color="000000" w:sz="4" w:space="0"/>
              <w:left w:val="single" w:color="000000" w:sz="4" w:space="0"/>
              <w:right w:val="single" w:color="000000" w:sz="4" w:space="0"/>
            </w:tcBorders>
            <w:shd w:val="clear" w:color="auto" w:fill="auto"/>
            <w:vAlign w:val="center"/>
          </w:tcPr>
          <w:p w14:paraId="6B840FF0">
            <w:pPr>
              <w:jc w:val="center"/>
              <w:rPr>
                <w:rFonts w:hint="eastAsia" w:ascii="宋体" w:hAnsi="宋体" w:eastAsia="宋体" w:cs="宋体"/>
                <w:i w:val="0"/>
                <w:color w:val="000000"/>
                <w:sz w:val="24"/>
                <w:szCs w:val="24"/>
                <w:u w:val="none"/>
              </w:rPr>
            </w:pPr>
          </w:p>
        </w:tc>
        <w:tc>
          <w:tcPr>
            <w:tcW w:w="673" w:type="dxa"/>
            <w:tcBorders>
              <w:top w:val="single" w:color="000000" w:sz="4" w:space="0"/>
              <w:left w:val="single" w:color="000000" w:sz="4" w:space="0"/>
              <w:right w:val="single" w:color="000000" w:sz="4" w:space="0"/>
            </w:tcBorders>
            <w:shd w:val="clear" w:color="auto" w:fill="auto"/>
            <w:vAlign w:val="center"/>
          </w:tcPr>
          <w:p w14:paraId="251A6E5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立项程序规范性</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3AF0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项目申请、设立过程是否符合相关要求，用以反映和考核项目立项的规范情况。</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31A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EC68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010F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评价要点： ①项目是否按照规定的程序申请设立； ②审批文件、材料是否符合相关要求； ③事前是否已经过必要的可行性研究、专家论证、风险评估、绩效评估、集体决策等。</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5D7E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若有一项不符扣1分，若存在严重不符的情况则不得分。</w:t>
            </w:r>
          </w:p>
        </w:tc>
      </w:tr>
      <w:tr w14:paraId="490EC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1"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2294ACA">
            <w:pPr>
              <w:jc w:val="center"/>
              <w:rPr>
                <w:rFonts w:hint="eastAsia" w:ascii="宋体" w:hAnsi="宋体" w:eastAsia="宋体" w:cs="宋体"/>
                <w:i w:val="0"/>
                <w:color w:val="000000"/>
                <w:sz w:val="24"/>
                <w:szCs w:val="24"/>
                <w:u w:val="none"/>
              </w:rPr>
            </w:pPr>
          </w:p>
        </w:tc>
        <w:tc>
          <w:tcPr>
            <w:tcW w:w="681" w:type="dxa"/>
            <w:vMerge w:val="continue"/>
            <w:tcBorders>
              <w:top w:val="single" w:color="000000" w:sz="4" w:space="0"/>
              <w:left w:val="single" w:color="000000" w:sz="4" w:space="0"/>
              <w:right w:val="single" w:color="000000" w:sz="4" w:space="0"/>
            </w:tcBorders>
            <w:shd w:val="clear" w:color="auto" w:fill="auto"/>
            <w:vAlign w:val="center"/>
          </w:tcPr>
          <w:p w14:paraId="7491603C">
            <w:pPr>
              <w:jc w:val="center"/>
              <w:rPr>
                <w:rFonts w:hint="eastAsia" w:ascii="宋体" w:hAnsi="宋体" w:eastAsia="宋体" w:cs="宋体"/>
                <w:i w:val="0"/>
                <w:color w:val="000000"/>
                <w:sz w:val="24"/>
                <w:szCs w:val="24"/>
                <w:u w:val="none"/>
              </w:rPr>
            </w:pPr>
          </w:p>
        </w:tc>
        <w:tc>
          <w:tcPr>
            <w:tcW w:w="974" w:type="dxa"/>
            <w:vMerge w:val="restart"/>
            <w:tcBorders>
              <w:top w:val="single" w:color="000000" w:sz="4" w:space="0"/>
              <w:left w:val="single" w:color="000000" w:sz="4" w:space="0"/>
              <w:right w:val="single" w:color="000000" w:sz="4" w:space="0"/>
            </w:tcBorders>
            <w:shd w:val="clear" w:color="auto" w:fill="auto"/>
            <w:vAlign w:val="center"/>
          </w:tcPr>
          <w:p w14:paraId="66AD675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绩效目标</w:t>
            </w:r>
          </w:p>
        </w:tc>
        <w:tc>
          <w:tcPr>
            <w:tcW w:w="673" w:type="dxa"/>
            <w:tcBorders>
              <w:top w:val="single" w:color="000000" w:sz="4" w:space="0"/>
              <w:left w:val="single" w:color="000000" w:sz="4" w:space="0"/>
              <w:right w:val="single" w:color="000000" w:sz="4" w:space="0"/>
            </w:tcBorders>
            <w:shd w:val="clear" w:color="auto" w:fill="auto"/>
            <w:vAlign w:val="center"/>
          </w:tcPr>
          <w:p w14:paraId="7374689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绩效目标合理性</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F32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项目所设定的绩效目标是否依据充分，是否符合客观实际，用以反映和考核项目绩效目标与项目实施的相符情况。</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EF9D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C8C6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52C8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评价要点： （如未设定预算绩效目标，也可考核其他工作任务目标） ①项目是否有绩效目标； ②项目绩效目标与实际工作内容是否具有相关性； ③项目预期产出效益和效果是否符合正常的业绩水平； ④是否与预算确定的项目投资额或资金量相匹配。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87B3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若有一项不符扣1分，若存在严重不符的情况则不得分。</w:t>
            </w:r>
          </w:p>
        </w:tc>
      </w:tr>
      <w:tr w14:paraId="6BC0B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21"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05687AE">
            <w:pPr>
              <w:jc w:val="center"/>
              <w:rPr>
                <w:rFonts w:hint="eastAsia" w:ascii="宋体" w:hAnsi="宋体" w:eastAsia="宋体" w:cs="宋体"/>
                <w:i w:val="0"/>
                <w:color w:val="000000"/>
                <w:sz w:val="24"/>
                <w:szCs w:val="24"/>
                <w:u w:val="none"/>
              </w:rPr>
            </w:pPr>
          </w:p>
        </w:tc>
        <w:tc>
          <w:tcPr>
            <w:tcW w:w="681" w:type="dxa"/>
            <w:vMerge w:val="continue"/>
            <w:tcBorders>
              <w:top w:val="single" w:color="000000" w:sz="4" w:space="0"/>
              <w:left w:val="single" w:color="000000" w:sz="4" w:space="0"/>
              <w:right w:val="single" w:color="000000" w:sz="4" w:space="0"/>
            </w:tcBorders>
            <w:shd w:val="clear" w:color="auto" w:fill="auto"/>
            <w:vAlign w:val="center"/>
          </w:tcPr>
          <w:p w14:paraId="3753762D">
            <w:pPr>
              <w:jc w:val="center"/>
              <w:rPr>
                <w:rFonts w:hint="eastAsia" w:ascii="宋体" w:hAnsi="宋体" w:eastAsia="宋体" w:cs="宋体"/>
                <w:i w:val="0"/>
                <w:color w:val="000000"/>
                <w:sz w:val="24"/>
                <w:szCs w:val="24"/>
                <w:u w:val="none"/>
              </w:rPr>
            </w:pPr>
          </w:p>
        </w:tc>
        <w:tc>
          <w:tcPr>
            <w:tcW w:w="974" w:type="dxa"/>
            <w:vMerge w:val="continue"/>
            <w:tcBorders>
              <w:top w:val="single" w:color="000000" w:sz="4" w:space="0"/>
              <w:left w:val="single" w:color="000000" w:sz="4" w:space="0"/>
              <w:right w:val="single" w:color="000000" w:sz="4" w:space="0"/>
            </w:tcBorders>
            <w:shd w:val="clear" w:color="auto" w:fill="auto"/>
            <w:vAlign w:val="center"/>
          </w:tcPr>
          <w:p w14:paraId="73E4ED5C">
            <w:pPr>
              <w:jc w:val="center"/>
              <w:rPr>
                <w:rFonts w:hint="eastAsia" w:ascii="宋体" w:hAnsi="宋体" w:eastAsia="宋体" w:cs="宋体"/>
                <w:i w:val="0"/>
                <w:color w:val="000000"/>
                <w:sz w:val="24"/>
                <w:szCs w:val="24"/>
                <w:u w:val="none"/>
              </w:rPr>
            </w:pPr>
          </w:p>
        </w:tc>
        <w:tc>
          <w:tcPr>
            <w:tcW w:w="673" w:type="dxa"/>
            <w:tcBorders>
              <w:top w:val="single" w:color="000000" w:sz="4" w:space="0"/>
              <w:left w:val="single" w:color="000000" w:sz="4" w:space="0"/>
              <w:right w:val="single" w:color="000000" w:sz="4" w:space="0"/>
            </w:tcBorders>
            <w:shd w:val="clear" w:color="auto" w:fill="auto"/>
            <w:vAlign w:val="center"/>
          </w:tcPr>
          <w:p w14:paraId="2D9AD35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绩效指标明确性</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76D8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依据绩效目标设定的绩效指标是否清晰、细化、可衡量等，用以反映和考核项目绩效目标的明细化情况。</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AC9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3CC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D6E2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评价要点： ①是否将项目绩效目标细化分解为具体的绩效指标； ②是否通过清晰、可衡量的指标值予以体现； ③是否与项目目标任务数或计划数相对应。</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D89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若有一项不符扣1分，若存在严重不符的情况则不得分。</w:t>
            </w:r>
          </w:p>
        </w:tc>
      </w:tr>
      <w:tr w14:paraId="1EB2A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800F508">
            <w:pPr>
              <w:jc w:val="center"/>
              <w:rPr>
                <w:rFonts w:hint="eastAsia" w:ascii="宋体" w:hAnsi="宋体" w:eastAsia="宋体" w:cs="宋体"/>
                <w:i w:val="0"/>
                <w:color w:val="000000"/>
                <w:sz w:val="24"/>
                <w:szCs w:val="24"/>
                <w:u w:val="none"/>
              </w:rPr>
            </w:pPr>
          </w:p>
        </w:tc>
        <w:tc>
          <w:tcPr>
            <w:tcW w:w="681" w:type="dxa"/>
            <w:vMerge w:val="continue"/>
            <w:tcBorders>
              <w:top w:val="single" w:color="000000" w:sz="4" w:space="0"/>
              <w:left w:val="single" w:color="000000" w:sz="4" w:space="0"/>
              <w:right w:val="single" w:color="000000" w:sz="4" w:space="0"/>
            </w:tcBorders>
            <w:shd w:val="clear" w:color="auto" w:fill="auto"/>
            <w:vAlign w:val="center"/>
          </w:tcPr>
          <w:p w14:paraId="3AA22ACA">
            <w:pPr>
              <w:jc w:val="center"/>
              <w:rPr>
                <w:rFonts w:hint="eastAsia" w:ascii="宋体" w:hAnsi="宋体" w:eastAsia="宋体" w:cs="宋体"/>
                <w:i w:val="0"/>
                <w:color w:val="000000"/>
                <w:sz w:val="24"/>
                <w:szCs w:val="24"/>
                <w:u w:val="none"/>
              </w:rPr>
            </w:pPr>
          </w:p>
        </w:tc>
        <w:tc>
          <w:tcPr>
            <w:tcW w:w="974" w:type="dxa"/>
            <w:vMerge w:val="restart"/>
            <w:tcBorders>
              <w:top w:val="single" w:color="000000" w:sz="4" w:space="0"/>
              <w:left w:val="single" w:color="000000" w:sz="4" w:space="0"/>
              <w:right w:val="single" w:color="000000" w:sz="4" w:space="0"/>
            </w:tcBorders>
            <w:shd w:val="clear" w:color="auto" w:fill="auto"/>
            <w:vAlign w:val="center"/>
          </w:tcPr>
          <w:p w14:paraId="074BA8E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资金投入</w:t>
            </w:r>
          </w:p>
        </w:tc>
        <w:tc>
          <w:tcPr>
            <w:tcW w:w="673" w:type="dxa"/>
            <w:tcBorders>
              <w:top w:val="single" w:color="000000" w:sz="4" w:space="0"/>
              <w:left w:val="single" w:color="000000" w:sz="4" w:space="0"/>
              <w:right w:val="single" w:color="000000" w:sz="4" w:space="0"/>
            </w:tcBorders>
            <w:shd w:val="clear" w:color="auto" w:fill="auto"/>
            <w:vAlign w:val="center"/>
          </w:tcPr>
          <w:p w14:paraId="2BF06EF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预算编制科学性</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62B3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项目预算编制是否经过科学论证、有明确标准，资金额度与年度目标是否相适应，用以反映和考核项目预算编制的科学性、合理性情况。</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9DAA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C54E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7028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评价要点： ①预算编制是否经过科学论证； ②预算内容与项目内容是否匹配； ③预算额度测算依据是否充分，是否按照标准编制； ④预算确定的项目投资额或资金量是否与工作任务相匹配。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B0C2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若有一项不符扣1分，若存在严重不符的情况则不得分。</w:t>
            </w:r>
          </w:p>
        </w:tc>
      </w:tr>
      <w:tr w14:paraId="50CCF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01"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9A44359">
            <w:pPr>
              <w:jc w:val="center"/>
              <w:rPr>
                <w:rFonts w:hint="eastAsia" w:ascii="宋体" w:hAnsi="宋体" w:eastAsia="宋体" w:cs="宋体"/>
                <w:i w:val="0"/>
                <w:color w:val="000000"/>
                <w:sz w:val="24"/>
                <w:szCs w:val="24"/>
                <w:u w:val="none"/>
              </w:rPr>
            </w:pPr>
          </w:p>
        </w:tc>
        <w:tc>
          <w:tcPr>
            <w:tcW w:w="681" w:type="dxa"/>
            <w:vMerge w:val="continue"/>
            <w:tcBorders>
              <w:top w:val="single" w:color="000000" w:sz="4" w:space="0"/>
              <w:left w:val="single" w:color="000000" w:sz="4" w:space="0"/>
              <w:right w:val="single" w:color="000000" w:sz="4" w:space="0"/>
            </w:tcBorders>
            <w:shd w:val="clear" w:color="auto" w:fill="auto"/>
            <w:vAlign w:val="center"/>
          </w:tcPr>
          <w:p w14:paraId="62494CF7">
            <w:pPr>
              <w:jc w:val="center"/>
              <w:rPr>
                <w:rFonts w:hint="eastAsia" w:ascii="宋体" w:hAnsi="宋体" w:eastAsia="宋体" w:cs="宋体"/>
                <w:i w:val="0"/>
                <w:color w:val="000000"/>
                <w:sz w:val="24"/>
                <w:szCs w:val="24"/>
                <w:u w:val="none"/>
              </w:rPr>
            </w:pPr>
          </w:p>
        </w:tc>
        <w:tc>
          <w:tcPr>
            <w:tcW w:w="974" w:type="dxa"/>
            <w:vMerge w:val="continue"/>
            <w:tcBorders>
              <w:top w:val="single" w:color="000000" w:sz="4" w:space="0"/>
              <w:left w:val="single" w:color="000000" w:sz="4" w:space="0"/>
              <w:right w:val="single" w:color="000000" w:sz="4" w:space="0"/>
            </w:tcBorders>
            <w:shd w:val="clear" w:color="auto" w:fill="auto"/>
            <w:vAlign w:val="center"/>
          </w:tcPr>
          <w:p w14:paraId="0C367CCF">
            <w:pPr>
              <w:jc w:val="center"/>
              <w:rPr>
                <w:rFonts w:hint="eastAsia" w:ascii="宋体" w:hAnsi="宋体" w:eastAsia="宋体" w:cs="宋体"/>
                <w:i w:val="0"/>
                <w:color w:val="000000"/>
                <w:sz w:val="24"/>
                <w:szCs w:val="24"/>
                <w:u w:val="none"/>
              </w:rPr>
            </w:pPr>
          </w:p>
        </w:tc>
        <w:tc>
          <w:tcPr>
            <w:tcW w:w="673" w:type="dxa"/>
            <w:tcBorders>
              <w:top w:val="single" w:color="000000" w:sz="4" w:space="0"/>
              <w:left w:val="single" w:color="000000" w:sz="4" w:space="0"/>
              <w:right w:val="single" w:color="000000" w:sz="4" w:space="0"/>
            </w:tcBorders>
            <w:shd w:val="clear" w:color="auto" w:fill="auto"/>
            <w:vAlign w:val="center"/>
          </w:tcPr>
          <w:p w14:paraId="06A3401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资金分配合理性</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E84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项目预算资金分配是否有测算依据，与补助单位或地方实际是否相适应，用以反映和考核项目预算资金分配的科学性、合理性情况。</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EF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812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ACEE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评价要点： ①预算资金分配依据是否充分； ②资金分配额度是否合理，与项目单位或地方实际是否相适应。</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5FD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若有一项不符扣1分，若存在严重不符的情况则不得分。</w:t>
            </w:r>
          </w:p>
        </w:tc>
      </w:tr>
      <w:tr w14:paraId="77316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41"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B33D528">
            <w:pPr>
              <w:jc w:val="center"/>
              <w:rPr>
                <w:rFonts w:hint="eastAsia" w:ascii="宋体" w:hAnsi="宋体" w:eastAsia="宋体" w:cs="宋体"/>
                <w:i w:val="0"/>
                <w:color w:val="000000"/>
                <w:sz w:val="24"/>
                <w:szCs w:val="24"/>
                <w:u w:val="none"/>
              </w:rPr>
            </w:pPr>
          </w:p>
        </w:tc>
        <w:tc>
          <w:tcPr>
            <w:tcW w:w="681" w:type="dxa"/>
            <w:vMerge w:val="restart"/>
            <w:tcBorders>
              <w:top w:val="single" w:color="000000" w:sz="4" w:space="0"/>
              <w:left w:val="single" w:color="000000" w:sz="4" w:space="0"/>
              <w:right w:val="single" w:color="000000" w:sz="4" w:space="0"/>
            </w:tcBorders>
            <w:shd w:val="clear" w:color="auto" w:fill="auto"/>
            <w:vAlign w:val="center"/>
          </w:tcPr>
          <w:p w14:paraId="672A533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过程</w:t>
            </w:r>
          </w:p>
        </w:tc>
        <w:tc>
          <w:tcPr>
            <w:tcW w:w="974" w:type="dxa"/>
            <w:vMerge w:val="restart"/>
            <w:tcBorders>
              <w:top w:val="single" w:color="000000" w:sz="4" w:space="0"/>
              <w:left w:val="single" w:color="000000" w:sz="4" w:space="0"/>
              <w:right w:val="single" w:color="000000" w:sz="4" w:space="0"/>
            </w:tcBorders>
            <w:shd w:val="clear" w:color="auto" w:fill="auto"/>
            <w:vAlign w:val="center"/>
          </w:tcPr>
          <w:p w14:paraId="732695D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资金管理</w:t>
            </w:r>
          </w:p>
        </w:tc>
        <w:tc>
          <w:tcPr>
            <w:tcW w:w="673" w:type="dxa"/>
            <w:tcBorders>
              <w:top w:val="single" w:color="000000" w:sz="4" w:space="0"/>
              <w:left w:val="single" w:color="000000" w:sz="4" w:space="0"/>
              <w:right w:val="single" w:color="000000" w:sz="4" w:space="0"/>
            </w:tcBorders>
            <w:shd w:val="clear" w:color="auto" w:fill="auto"/>
            <w:vAlign w:val="center"/>
          </w:tcPr>
          <w:p w14:paraId="0621FE5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预算执行率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0A66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项目预算资金是否按照计划执行，用以反映或考核项目预算执行情况。</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985C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DF30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5784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预算执行率=（实际支出资金/实际到位资金）×100%。 实际支出资金：一定时期（本年度或项目期）内项目实际拨付的资金。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038C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执行率90%以上（含90%），得3分；80%—90%，得2分；70%—80%，得1分；其余不得分。</w:t>
            </w:r>
          </w:p>
        </w:tc>
      </w:tr>
      <w:tr w14:paraId="5DF1E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1"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01E3AD0">
            <w:pPr>
              <w:jc w:val="center"/>
              <w:rPr>
                <w:rFonts w:hint="eastAsia" w:ascii="宋体" w:hAnsi="宋体" w:eastAsia="宋体" w:cs="宋体"/>
                <w:i w:val="0"/>
                <w:color w:val="000000"/>
                <w:sz w:val="24"/>
                <w:szCs w:val="24"/>
                <w:u w:val="none"/>
              </w:rPr>
            </w:pPr>
          </w:p>
        </w:tc>
        <w:tc>
          <w:tcPr>
            <w:tcW w:w="681" w:type="dxa"/>
            <w:vMerge w:val="continue"/>
            <w:tcBorders>
              <w:top w:val="single" w:color="000000" w:sz="4" w:space="0"/>
              <w:left w:val="single" w:color="000000" w:sz="4" w:space="0"/>
              <w:right w:val="single" w:color="000000" w:sz="4" w:space="0"/>
            </w:tcBorders>
            <w:shd w:val="clear" w:color="auto" w:fill="auto"/>
            <w:vAlign w:val="center"/>
          </w:tcPr>
          <w:p w14:paraId="1C3F024C">
            <w:pPr>
              <w:jc w:val="center"/>
              <w:rPr>
                <w:rFonts w:hint="eastAsia" w:ascii="宋体" w:hAnsi="宋体" w:eastAsia="宋体" w:cs="宋体"/>
                <w:i w:val="0"/>
                <w:color w:val="000000"/>
                <w:sz w:val="24"/>
                <w:szCs w:val="24"/>
                <w:u w:val="none"/>
              </w:rPr>
            </w:pPr>
          </w:p>
        </w:tc>
        <w:tc>
          <w:tcPr>
            <w:tcW w:w="974" w:type="dxa"/>
            <w:vMerge w:val="continue"/>
            <w:tcBorders>
              <w:top w:val="single" w:color="000000" w:sz="4" w:space="0"/>
              <w:left w:val="single" w:color="000000" w:sz="4" w:space="0"/>
              <w:right w:val="single" w:color="000000" w:sz="4" w:space="0"/>
            </w:tcBorders>
            <w:shd w:val="clear" w:color="auto" w:fill="auto"/>
            <w:vAlign w:val="center"/>
          </w:tcPr>
          <w:p w14:paraId="3DE71CA4">
            <w:pPr>
              <w:jc w:val="center"/>
              <w:rPr>
                <w:rFonts w:hint="eastAsia" w:ascii="宋体" w:hAnsi="宋体" w:eastAsia="宋体" w:cs="宋体"/>
                <w:i w:val="0"/>
                <w:color w:val="000000"/>
                <w:sz w:val="24"/>
                <w:szCs w:val="24"/>
                <w:u w:val="none"/>
              </w:rPr>
            </w:pPr>
          </w:p>
        </w:tc>
        <w:tc>
          <w:tcPr>
            <w:tcW w:w="673" w:type="dxa"/>
            <w:tcBorders>
              <w:top w:val="single" w:color="000000" w:sz="4" w:space="0"/>
              <w:left w:val="single" w:color="000000" w:sz="4" w:space="0"/>
              <w:right w:val="single" w:color="000000" w:sz="4" w:space="0"/>
            </w:tcBorders>
            <w:shd w:val="clear" w:color="auto" w:fill="auto"/>
            <w:vAlign w:val="center"/>
          </w:tcPr>
          <w:p w14:paraId="7F59513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资金使用合规性</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6C0C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项目资金使用是否符合相关的财务管理制度规定，用以反映和考核项目资金的规范运行情况。</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FED7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E2B1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4FBB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评价要点： ①是否符合国家财经法规和财务管理制度以及有关专项资金管理办法的规定； ②资金的拨付是否有完整的审批程序和手续； ③是否符合项目预算批复或合同规定的用途； ④是否存在截留、挤占、挪用、虚列支出等情况。</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C0F8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若有一项不符扣1分，若存在严重不符的情况则不得分。</w:t>
            </w:r>
          </w:p>
        </w:tc>
      </w:tr>
      <w:tr w14:paraId="53410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06"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89CA9E0">
            <w:pPr>
              <w:jc w:val="center"/>
              <w:rPr>
                <w:rFonts w:hint="eastAsia" w:ascii="宋体" w:hAnsi="宋体" w:eastAsia="宋体" w:cs="宋体"/>
                <w:i w:val="0"/>
                <w:color w:val="000000"/>
                <w:sz w:val="24"/>
                <w:szCs w:val="24"/>
                <w:u w:val="none"/>
              </w:rPr>
            </w:pPr>
          </w:p>
        </w:tc>
        <w:tc>
          <w:tcPr>
            <w:tcW w:w="681" w:type="dxa"/>
            <w:vMerge w:val="continue"/>
            <w:tcBorders>
              <w:top w:val="single" w:color="000000" w:sz="4" w:space="0"/>
              <w:left w:val="single" w:color="000000" w:sz="4" w:space="0"/>
              <w:right w:val="single" w:color="000000" w:sz="4" w:space="0"/>
            </w:tcBorders>
            <w:shd w:val="clear" w:color="auto" w:fill="auto"/>
            <w:vAlign w:val="center"/>
          </w:tcPr>
          <w:p w14:paraId="0B18E556">
            <w:pPr>
              <w:jc w:val="center"/>
              <w:rPr>
                <w:rFonts w:hint="eastAsia" w:ascii="宋体" w:hAnsi="宋体" w:eastAsia="宋体" w:cs="宋体"/>
                <w:i w:val="0"/>
                <w:color w:val="000000"/>
                <w:sz w:val="24"/>
                <w:szCs w:val="24"/>
                <w:u w:val="none"/>
              </w:rPr>
            </w:pPr>
          </w:p>
        </w:tc>
        <w:tc>
          <w:tcPr>
            <w:tcW w:w="974" w:type="dxa"/>
            <w:vMerge w:val="restart"/>
            <w:tcBorders>
              <w:top w:val="single" w:color="000000" w:sz="4" w:space="0"/>
              <w:left w:val="single" w:color="000000" w:sz="4" w:space="0"/>
              <w:right w:val="single" w:color="000000" w:sz="4" w:space="0"/>
            </w:tcBorders>
            <w:shd w:val="clear" w:color="auto" w:fill="auto"/>
            <w:vAlign w:val="center"/>
          </w:tcPr>
          <w:p w14:paraId="70D49B5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组织实施</w:t>
            </w:r>
          </w:p>
        </w:tc>
        <w:tc>
          <w:tcPr>
            <w:tcW w:w="673" w:type="dxa"/>
            <w:tcBorders>
              <w:top w:val="single" w:color="000000" w:sz="4" w:space="0"/>
              <w:left w:val="single" w:color="000000" w:sz="4" w:space="0"/>
              <w:right w:val="single" w:color="000000" w:sz="4" w:space="0"/>
            </w:tcBorders>
            <w:shd w:val="clear" w:color="auto" w:fill="auto"/>
            <w:vAlign w:val="center"/>
          </w:tcPr>
          <w:p w14:paraId="561B73E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管理制度健全性</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6DAA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项目实施单位的财务和业务管理制度是否健全，用以反映和考核财务和业务管理制度对项目顺利实施的保障情况。</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00D7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57F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632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评价要点： ①是否已制定或具有相应的财务和业务管理制度； ②财务和业务管理制度是否合法、合规、完整。</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9E4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若有一项不符扣1分，若存在严重不符的情况则不得分。</w:t>
            </w:r>
          </w:p>
        </w:tc>
      </w:tr>
      <w:tr w14:paraId="5EB56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95"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3881476">
            <w:pPr>
              <w:jc w:val="center"/>
              <w:rPr>
                <w:rFonts w:hint="eastAsia" w:ascii="宋体" w:hAnsi="宋体" w:eastAsia="宋体" w:cs="宋体"/>
                <w:i w:val="0"/>
                <w:color w:val="000000"/>
                <w:sz w:val="24"/>
                <w:szCs w:val="24"/>
                <w:u w:val="none"/>
              </w:rPr>
            </w:pPr>
          </w:p>
        </w:tc>
        <w:tc>
          <w:tcPr>
            <w:tcW w:w="681" w:type="dxa"/>
            <w:vMerge w:val="continue"/>
            <w:tcBorders>
              <w:top w:val="single" w:color="000000" w:sz="4" w:space="0"/>
              <w:left w:val="single" w:color="000000" w:sz="4" w:space="0"/>
              <w:right w:val="single" w:color="000000" w:sz="4" w:space="0"/>
            </w:tcBorders>
            <w:shd w:val="clear" w:color="auto" w:fill="auto"/>
            <w:vAlign w:val="center"/>
          </w:tcPr>
          <w:p w14:paraId="085CEC6E">
            <w:pPr>
              <w:jc w:val="center"/>
              <w:rPr>
                <w:rFonts w:hint="eastAsia" w:ascii="宋体" w:hAnsi="宋体" w:eastAsia="宋体" w:cs="宋体"/>
                <w:i w:val="0"/>
                <w:color w:val="000000"/>
                <w:sz w:val="24"/>
                <w:szCs w:val="24"/>
                <w:u w:val="none"/>
              </w:rPr>
            </w:pPr>
          </w:p>
        </w:tc>
        <w:tc>
          <w:tcPr>
            <w:tcW w:w="974" w:type="dxa"/>
            <w:vMerge w:val="continue"/>
            <w:tcBorders>
              <w:top w:val="single" w:color="000000" w:sz="4" w:space="0"/>
              <w:left w:val="single" w:color="000000" w:sz="4" w:space="0"/>
              <w:right w:val="single" w:color="000000" w:sz="4" w:space="0"/>
            </w:tcBorders>
            <w:shd w:val="clear" w:color="auto" w:fill="auto"/>
            <w:vAlign w:val="center"/>
          </w:tcPr>
          <w:p w14:paraId="183A6DD5">
            <w:pPr>
              <w:jc w:val="center"/>
              <w:rPr>
                <w:rFonts w:hint="eastAsia" w:ascii="宋体" w:hAnsi="宋体" w:eastAsia="宋体" w:cs="宋体"/>
                <w:i w:val="0"/>
                <w:color w:val="000000"/>
                <w:sz w:val="24"/>
                <w:szCs w:val="24"/>
                <w:u w:val="none"/>
              </w:rPr>
            </w:pPr>
          </w:p>
        </w:tc>
        <w:tc>
          <w:tcPr>
            <w:tcW w:w="673" w:type="dxa"/>
            <w:tcBorders>
              <w:top w:val="single" w:color="000000" w:sz="4" w:space="0"/>
              <w:left w:val="single" w:color="000000" w:sz="4" w:space="0"/>
              <w:right w:val="single" w:color="000000" w:sz="4" w:space="0"/>
            </w:tcBorders>
            <w:shd w:val="clear" w:color="auto" w:fill="auto"/>
            <w:vAlign w:val="center"/>
          </w:tcPr>
          <w:p w14:paraId="7C717D7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制度执行有效性</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385A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项目实施是否符合相关管理规定，用以反映和考核相关管理制度的有效执行情况。</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6D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8B5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3.5</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6D84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评价要点： ①是否遵守相关法律法规和相关管理规定； ②项目调整及支出调整手续是否完备； ③项目合同书、验收报告、技术鉴定等资料是否齐全并及时归档； ④项目实施的人员条件、场地设备、信息支撑等是否落实到位。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D1E9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若有一项不符扣1分，若存在严重不符的情况则不得分。</w:t>
            </w:r>
          </w:p>
        </w:tc>
      </w:tr>
      <w:tr w14:paraId="68EC2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1"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9111A04">
            <w:pPr>
              <w:jc w:val="center"/>
              <w:rPr>
                <w:rFonts w:hint="eastAsia" w:ascii="宋体" w:hAnsi="宋体" w:eastAsia="宋体" w:cs="宋体"/>
                <w:i w:val="0"/>
                <w:color w:val="000000"/>
                <w:sz w:val="24"/>
                <w:szCs w:val="24"/>
                <w:u w:val="none"/>
              </w:rPr>
            </w:pPr>
          </w:p>
        </w:tc>
        <w:tc>
          <w:tcPr>
            <w:tcW w:w="681" w:type="dxa"/>
            <w:vMerge w:val="restart"/>
            <w:tcBorders>
              <w:top w:val="single" w:color="000000" w:sz="4" w:space="0"/>
              <w:left w:val="single" w:color="000000" w:sz="4" w:space="0"/>
              <w:right w:val="single" w:color="000000" w:sz="4" w:space="0"/>
            </w:tcBorders>
            <w:shd w:val="clear" w:color="auto" w:fill="auto"/>
            <w:vAlign w:val="center"/>
          </w:tcPr>
          <w:p w14:paraId="5265576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产出</w:t>
            </w:r>
          </w:p>
        </w:tc>
        <w:tc>
          <w:tcPr>
            <w:tcW w:w="974" w:type="dxa"/>
            <w:tcBorders>
              <w:top w:val="single" w:color="000000" w:sz="4" w:space="0"/>
              <w:left w:val="single" w:color="000000" w:sz="4" w:space="0"/>
              <w:right w:val="single" w:color="000000" w:sz="4" w:space="0"/>
            </w:tcBorders>
            <w:shd w:val="clear" w:color="auto" w:fill="auto"/>
            <w:vAlign w:val="center"/>
          </w:tcPr>
          <w:p w14:paraId="445B3B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产出数量</w:t>
            </w:r>
          </w:p>
        </w:tc>
        <w:tc>
          <w:tcPr>
            <w:tcW w:w="673" w:type="dxa"/>
            <w:tcBorders>
              <w:top w:val="single" w:color="000000" w:sz="4" w:space="0"/>
              <w:left w:val="single" w:color="000000" w:sz="4" w:space="0"/>
              <w:right w:val="single" w:color="000000" w:sz="4" w:space="0"/>
            </w:tcBorders>
            <w:shd w:val="clear" w:color="auto" w:fill="auto"/>
            <w:vAlign w:val="center"/>
          </w:tcPr>
          <w:p w14:paraId="13EA94F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B917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项目实施的实际产出数与计划产出数的比率，用以反映和考核项目产出数量目标的实现程度。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C5A0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10B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0CD2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实际完成率=（实际产出数/计划产出数）×100%。 实际产出数=一定时期（本年度或项目期）内项目实际产出的产品或提供的服务数量。 计划产出数：项目绩效目标确定的在一定时期（本年度或项目期）内计划产出的产品或提供的服务数量。</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A2FC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完成率95%以上（含95%），得3分；90%-95%（含90%），得2分；85%-90%（含85%），得1分，85%以下不得分。</w:t>
            </w:r>
          </w:p>
        </w:tc>
      </w:tr>
      <w:tr w14:paraId="42C47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141"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A8DC190">
            <w:pPr>
              <w:jc w:val="center"/>
              <w:rPr>
                <w:rFonts w:hint="eastAsia" w:ascii="宋体" w:hAnsi="宋体" w:eastAsia="宋体" w:cs="宋体"/>
                <w:i w:val="0"/>
                <w:color w:val="000000"/>
                <w:sz w:val="24"/>
                <w:szCs w:val="24"/>
                <w:u w:val="none"/>
              </w:rPr>
            </w:pPr>
          </w:p>
        </w:tc>
        <w:tc>
          <w:tcPr>
            <w:tcW w:w="681" w:type="dxa"/>
            <w:vMerge w:val="continue"/>
            <w:tcBorders>
              <w:top w:val="single" w:color="000000" w:sz="4" w:space="0"/>
              <w:left w:val="single" w:color="000000" w:sz="4" w:space="0"/>
              <w:right w:val="single" w:color="000000" w:sz="4" w:space="0"/>
            </w:tcBorders>
            <w:shd w:val="clear" w:color="auto" w:fill="auto"/>
            <w:vAlign w:val="center"/>
          </w:tcPr>
          <w:p w14:paraId="709D5786">
            <w:pPr>
              <w:jc w:val="center"/>
              <w:rPr>
                <w:rFonts w:hint="eastAsia" w:ascii="宋体" w:hAnsi="宋体" w:eastAsia="宋体" w:cs="宋体"/>
                <w:i w:val="0"/>
                <w:color w:val="000000"/>
                <w:sz w:val="24"/>
                <w:szCs w:val="24"/>
                <w:u w:val="none"/>
              </w:rPr>
            </w:pPr>
          </w:p>
        </w:tc>
        <w:tc>
          <w:tcPr>
            <w:tcW w:w="974" w:type="dxa"/>
            <w:tcBorders>
              <w:top w:val="single" w:color="000000" w:sz="4" w:space="0"/>
              <w:left w:val="single" w:color="000000" w:sz="4" w:space="0"/>
              <w:right w:val="single" w:color="000000" w:sz="4" w:space="0"/>
            </w:tcBorders>
            <w:shd w:val="clear" w:color="auto" w:fill="auto"/>
            <w:vAlign w:val="center"/>
          </w:tcPr>
          <w:p w14:paraId="4B99FD3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产出质量</w:t>
            </w:r>
          </w:p>
        </w:tc>
        <w:tc>
          <w:tcPr>
            <w:tcW w:w="673" w:type="dxa"/>
            <w:tcBorders>
              <w:top w:val="single" w:color="000000" w:sz="4" w:space="0"/>
              <w:left w:val="single" w:color="000000" w:sz="4" w:space="0"/>
              <w:right w:val="single" w:color="000000" w:sz="4" w:space="0"/>
            </w:tcBorders>
            <w:shd w:val="clear" w:color="auto" w:fill="auto"/>
            <w:vAlign w:val="center"/>
          </w:tcPr>
          <w:p w14:paraId="02C8020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质量达标率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BAA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项目完成的质量达标产出数与实际产出数的比率，用以反映和考核项目产出质量目标的实现程度。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2BD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E329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4A20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质量达标率=（质量达标产出数/实际产出数）×100%。 质量达标产出数=一定时期（本年度或项目期）内实际达到既定质量标准的产品或服务数量。既定质量标准是指项目实施单位设立绩效目标时依据计划标准、行业标准、历史标准或其他标准而设定的绩效指标值 。</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243D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对照绩效目标产出数量、质量打分</w:t>
            </w:r>
          </w:p>
        </w:tc>
      </w:tr>
      <w:tr w14:paraId="1771D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21"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A778439">
            <w:pPr>
              <w:jc w:val="center"/>
              <w:rPr>
                <w:rFonts w:hint="eastAsia" w:ascii="宋体" w:hAnsi="宋体" w:eastAsia="宋体" w:cs="宋体"/>
                <w:i w:val="0"/>
                <w:color w:val="000000"/>
                <w:sz w:val="24"/>
                <w:szCs w:val="24"/>
                <w:u w:val="none"/>
              </w:rPr>
            </w:pPr>
          </w:p>
        </w:tc>
        <w:tc>
          <w:tcPr>
            <w:tcW w:w="681" w:type="dxa"/>
            <w:vMerge w:val="continue"/>
            <w:tcBorders>
              <w:top w:val="single" w:color="000000" w:sz="4" w:space="0"/>
              <w:left w:val="single" w:color="000000" w:sz="4" w:space="0"/>
              <w:right w:val="single" w:color="000000" w:sz="4" w:space="0"/>
            </w:tcBorders>
            <w:shd w:val="clear" w:color="auto" w:fill="auto"/>
            <w:vAlign w:val="center"/>
          </w:tcPr>
          <w:p w14:paraId="67EC3C1A">
            <w:pPr>
              <w:jc w:val="center"/>
              <w:rPr>
                <w:rFonts w:hint="eastAsia" w:ascii="宋体" w:hAnsi="宋体" w:eastAsia="宋体" w:cs="宋体"/>
                <w:i w:val="0"/>
                <w:color w:val="000000"/>
                <w:sz w:val="24"/>
                <w:szCs w:val="24"/>
                <w:u w:val="none"/>
              </w:rPr>
            </w:pPr>
          </w:p>
        </w:tc>
        <w:tc>
          <w:tcPr>
            <w:tcW w:w="974" w:type="dxa"/>
            <w:tcBorders>
              <w:top w:val="single" w:color="000000" w:sz="4" w:space="0"/>
              <w:left w:val="single" w:color="000000" w:sz="4" w:space="0"/>
              <w:right w:val="single" w:color="000000" w:sz="4" w:space="0"/>
            </w:tcBorders>
            <w:shd w:val="clear" w:color="auto" w:fill="auto"/>
            <w:vAlign w:val="center"/>
          </w:tcPr>
          <w:p w14:paraId="61D25A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产出时效</w:t>
            </w:r>
          </w:p>
        </w:tc>
        <w:tc>
          <w:tcPr>
            <w:tcW w:w="673" w:type="dxa"/>
            <w:tcBorders>
              <w:top w:val="single" w:color="000000" w:sz="4" w:space="0"/>
              <w:left w:val="single" w:color="000000" w:sz="4" w:space="0"/>
              <w:right w:val="single" w:color="000000" w:sz="4" w:space="0"/>
            </w:tcBorders>
            <w:shd w:val="clear" w:color="auto" w:fill="auto"/>
            <w:vAlign w:val="center"/>
          </w:tcPr>
          <w:p w14:paraId="0F2D2AE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完成及时性</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789F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项目实际完成时间与计划完成时间的比较。用以反映和考核项目产出时效目标的实现程度。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EB44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C51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C691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实际完成时间：项目实施单位完成该项目实际所耗用的时间。 计划完成时间：按照项目实施计划或相关规定完成该项目所需的时间。</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9730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计划时间内完成得满分，未完成不得分。</w:t>
            </w:r>
          </w:p>
        </w:tc>
      </w:tr>
      <w:tr w14:paraId="1DAB0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1"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1F5E6AB">
            <w:pPr>
              <w:jc w:val="center"/>
              <w:rPr>
                <w:rFonts w:hint="eastAsia" w:ascii="宋体" w:hAnsi="宋体" w:eastAsia="宋体" w:cs="宋体"/>
                <w:i w:val="0"/>
                <w:color w:val="000000"/>
                <w:sz w:val="24"/>
                <w:szCs w:val="24"/>
                <w:u w:val="none"/>
              </w:rPr>
            </w:pPr>
          </w:p>
        </w:tc>
        <w:tc>
          <w:tcPr>
            <w:tcW w:w="681" w:type="dxa"/>
            <w:vMerge w:val="continue"/>
            <w:tcBorders>
              <w:top w:val="single" w:color="000000" w:sz="4" w:space="0"/>
              <w:left w:val="single" w:color="000000" w:sz="4" w:space="0"/>
              <w:right w:val="single" w:color="000000" w:sz="4" w:space="0"/>
            </w:tcBorders>
            <w:shd w:val="clear" w:color="auto" w:fill="auto"/>
            <w:vAlign w:val="center"/>
          </w:tcPr>
          <w:p w14:paraId="525E377A">
            <w:pPr>
              <w:jc w:val="center"/>
              <w:rPr>
                <w:rFonts w:hint="eastAsia" w:ascii="宋体" w:hAnsi="宋体" w:eastAsia="宋体" w:cs="宋体"/>
                <w:i w:val="0"/>
                <w:color w:val="000000"/>
                <w:sz w:val="24"/>
                <w:szCs w:val="24"/>
                <w:u w:val="none"/>
              </w:rPr>
            </w:pPr>
          </w:p>
        </w:tc>
        <w:tc>
          <w:tcPr>
            <w:tcW w:w="974" w:type="dxa"/>
            <w:tcBorders>
              <w:top w:val="single" w:color="000000" w:sz="4" w:space="0"/>
              <w:left w:val="single" w:color="000000" w:sz="4" w:space="0"/>
              <w:right w:val="single" w:color="000000" w:sz="4" w:space="0"/>
            </w:tcBorders>
            <w:shd w:val="clear" w:color="auto" w:fill="auto"/>
            <w:vAlign w:val="center"/>
          </w:tcPr>
          <w:p w14:paraId="6B725A5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产出成本</w:t>
            </w:r>
          </w:p>
        </w:tc>
        <w:tc>
          <w:tcPr>
            <w:tcW w:w="673" w:type="dxa"/>
            <w:tcBorders>
              <w:top w:val="single" w:color="000000" w:sz="4" w:space="0"/>
              <w:left w:val="single" w:color="000000" w:sz="4" w:space="0"/>
              <w:right w:val="single" w:color="000000" w:sz="4" w:space="0"/>
            </w:tcBorders>
            <w:shd w:val="clear" w:color="auto" w:fill="auto"/>
            <w:vAlign w:val="center"/>
          </w:tcPr>
          <w:p w14:paraId="275AC5E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成本节约率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EE95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实际项目计划工作目标的实际节约成本与计划成本的比率，用以反映和考核项目的成本节约程度。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8EA8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143E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6DAB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成本节约率=[（计划成本-实际成本）/计划成本]×100%。 实际成本：项目实施单位如期、保质、保量完成既定工作目标实际所耗费的支出。 计划成本：项目实施单位为完成工作目标计划安排的支出，一般以项目预算为参考。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6E3D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成本节约率10%以上（含10%），得2分；5%以上（含5%），得1分；其余不得分。</w:t>
            </w:r>
          </w:p>
        </w:tc>
      </w:tr>
      <w:tr w14:paraId="043E2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31"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515A710">
            <w:pPr>
              <w:jc w:val="center"/>
              <w:rPr>
                <w:rFonts w:hint="eastAsia" w:ascii="宋体" w:hAnsi="宋体" w:eastAsia="宋体" w:cs="宋体"/>
                <w:i w:val="0"/>
                <w:color w:val="000000"/>
                <w:sz w:val="24"/>
                <w:szCs w:val="24"/>
                <w:u w:val="none"/>
              </w:rPr>
            </w:pPr>
          </w:p>
        </w:tc>
        <w:tc>
          <w:tcPr>
            <w:tcW w:w="681" w:type="dxa"/>
            <w:vMerge w:val="restart"/>
            <w:tcBorders>
              <w:top w:val="single" w:color="000000" w:sz="4" w:space="0"/>
              <w:left w:val="single" w:color="000000" w:sz="4" w:space="0"/>
              <w:right w:val="single" w:color="000000" w:sz="4" w:space="0"/>
            </w:tcBorders>
            <w:shd w:val="clear" w:color="auto" w:fill="auto"/>
            <w:vAlign w:val="center"/>
          </w:tcPr>
          <w:p w14:paraId="41398EE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产出（30分）</w:t>
            </w:r>
          </w:p>
        </w:tc>
        <w:tc>
          <w:tcPr>
            <w:tcW w:w="9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94E33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产出数量（15分）</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75D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检验检测数量</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9F9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年初工作安排60个示范基地土壤产品检测</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EF56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2595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1643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完成检验检测数量</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77C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达到或超过目标得指标分，未达到目标值的，（完成数量/目标数量）*指标分</w:t>
            </w:r>
          </w:p>
        </w:tc>
      </w:tr>
      <w:tr w14:paraId="04720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36"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8676C7D">
            <w:pPr>
              <w:jc w:val="center"/>
              <w:rPr>
                <w:rFonts w:hint="eastAsia" w:ascii="宋体" w:hAnsi="宋体" w:eastAsia="宋体" w:cs="宋体"/>
                <w:i w:val="0"/>
                <w:color w:val="000000"/>
                <w:sz w:val="24"/>
                <w:szCs w:val="24"/>
                <w:u w:val="none"/>
              </w:rPr>
            </w:pPr>
          </w:p>
        </w:tc>
        <w:tc>
          <w:tcPr>
            <w:tcW w:w="681" w:type="dxa"/>
            <w:vMerge w:val="continue"/>
            <w:tcBorders>
              <w:top w:val="single" w:color="000000" w:sz="4" w:space="0"/>
              <w:left w:val="single" w:color="000000" w:sz="4" w:space="0"/>
              <w:right w:val="single" w:color="000000" w:sz="4" w:space="0"/>
            </w:tcBorders>
            <w:shd w:val="clear" w:color="auto" w:fill="auto"/>
            <w:vAlign w:val="center"/>
          </w:tcPr>
          <w:p w14:paraId="3D69B54D">
            <w:pPr>
              <w:jc w:val="center"/>
              <w:rPr>
                <w:rFonts w:hint="eastAsia" w:ascii="宋体" w:hAnsi="宋体" w:eastAsia="宋体" w:cs="宋体"/>
                <w:i w:val="0"/>
                <w:color w:val="000000"/>
                <w:sz w:val="24"/>
                <w:szCs w:val="24"/>
                <w:u w:val="none"/>
              </w:rPr>
            </w:pPr>
          </w:p>
        </w:tc>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415D3">
            <w:pPr>
              <w:jc w:val="center"/>
              <w:rPr>
                <w:rFonts w:hint="eastAsia" w:ascii="宋体" w:hAnsi="宋体" w:eastAsia="宋体" w:cs="宋体"/>
                <w:i w:val="0"/>
                <w:color w:val="000000"/>
                <w:sz w:val="24"/>
                <w:szCs w:val="24"/>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23FA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试验示范数量</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55CF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年初工作安排4个试验品种</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412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3C51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F1B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完成试验示范数量</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BD30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达到或超过目标得指标分，未达到目标值的，（完成数量/目标数量）*指标分</w:t>
            </w:r>
          </w:p>
        </w:tc>
      </w:tr>
      <w:tr w14:paraId="140B0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66"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B3EF6F0">
            <w:pPr>
              <w:jc w:val="center"/>
              <w:rPr>
                <w:rFonts w:hint="eastAsia" w:ascii="宋体" w:hAnsi="宋体" w:eastAsia="宋体" w:cs="宋体"/>
                <w:i w:val="0"/>
                <w:color w:val="000000"/>
                <w:sz w:val="24"/>
                <w:szCs w:val="24"/>
                <w:u w:val="none"/>
              </w:rPr>
            </w:pPr>
          </w:p>
        </w:tc>
        <w:tc>
          <w:tcPr>
            <w:tcW w:w="681" w:type="dxa"/>
            <w:vMerge w:val="continue"/>
            <w:tcBorders>
              <w:top w:val="single" w:color="000000" w:sz="4" w:space="0"/>
              <w:left w:val="single" w:color="000000" w:sz="4" w:space="0"/>
              <w:right w:val="single" w:color="000000" w:sz="4" w:space="0"/>
            </w:tcBorders>
            <w:shd w:val="clear" w:color="auto" w:fill="auto"/>
            <w:vAlign w:val="center"/>
          </w:tcPr>
          <w:p w14:paraId="70F34778">
            <w:pPr>
              <w:jc w:val="center"/>
              <w:rPr>
                <w:rFonts w:hint="eastAsia" w:ascii="宋体" w:hAnsi="宋体" w:eastAsia="宋体" w:cs="宋体"/>
                <w:i w:val="0"/>
                <w:color w:val="000000"/>
                <w:sz w:val="24"/>
                <w:szCs w:val="24"/>
                <w:u w:val="none"/>
              </w:rPr>
            </w:pPr>
          </w:p>
        </w:tc>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C4117">
            <w:pPr>
              <w:jc w:val="center"/>
              <w:rPr>
                <w:rFonts w:hint="eastAsia" w:ascii="宋体" w:hAnsi="宋体" w:eastAsia="宋体" w:cs="宋体"/>
                <w:i w:val="0"/>
                <w:color w:val="000000"/>
                <w:sz w:val="24"/>
                <w:szCs w:val="24"/>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54E0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基础研究数量</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FBE7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年初工作安排2个合作协议</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23F5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CBFE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9C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完成基础研究数量</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940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达到或超过目标得指标分，未达到目标值的，（完成数量/目标数量）*指标分</w:t>
            </w:r>
          </w:p>
        </w:tc>
      </w:tr>
      <w:tr w14:paraId="05D12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71"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E3E9525">
            <w:pPr>
              <w:jc w:val="center"/>
              <w:rPr>
                <w:rFonts w:hint="eastAsia" w:ascii="宋体" w:hAnsi="宋体" w:eastAsia="宋体" w:cs="宋体"/>
                <w:i w:val="0"/>
                <w:color w:val="000000"/>
                <w:sz w:val="24"/>
                <w:szCs w:val="24"/>
                <w:u w:val="none"/>
              </w:rPr>
            </w:pPr>
          </w:p>
        </w:tc>
        <w:tc>
          <w:tcPr>
            <w:tcW w:w="681" w:type="dxa"/>
            <w:vMerge w:val="continue"/>
            <w:tcBorders>
              <w:top w:val="single" w:color="000000" w:sz="4" w:space="0"/>
              <w:left w:val="single" w:color="000000" w:sz="4" w:space="0"/>
              <w:right w:val="single" w:color="000000" w:sz="4" w:space="0"/>
            </w:tcBorders>
            <w:shd w:val="clear" w:color="auto" w:fill="auto"/>
            <w:vAlign w:val="center"/>
          </w:tcPr>
          <w:p w14:paraId="50A49690">
            <w:pPr>
              <w:jc w:val="center"/>
              <w:rPr>
                <w:rFonts w:hint="eastAsia" w:ascii="宋体" w:hAnsi="宋体" w:eastAsia="宋体" w:cs="宋体"/>
                <w:i w:val="0"/>
                <w:color w:val="000000"/>
                <w:sz w:val="24"/>
                <w:szCs w:val="24"/>
                <w:u w:val="none"/>
              </w:rPr>
            </w:pPr>
          </w:p>
        </w:tc>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39531">
            <w:pPr>
              <w:jc w:val="center"/>
              <w:rPr>
                <w:rFonts w:hint="eastAsia" w:ascii="宋体" w:hAnsi="宋体" w:eastAsia="宋体" w:cs="宋体"/>
                <w:i w:val="0"/>
                <w:color w:val="000000"/>
                <w:sz w:val="24"/>
                <w:szCs w:val="24"/>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FFF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产品研发数量</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6754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年初工作安排4个品种</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DD83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630C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E4A4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完成产品研发数量</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F91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达到或超过目标得指标分，未达到目标值的，（完成数量/目标数量）*指标分</w:t>
            </w:r>
          </w:p>
        </w:tc>
      </w:tr>
      <w:tr w14:paraId="431AD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71"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6D5A8CE">
            <w:pPr>
              <w:jc w:val="center"/>
              <w:rPr>
                <w:rFonts w:hint="eastAsia" w:ascii="宋体" w:hAnsi="宋体" w:eastAsia="宋体" w:cs="宋体"/>
                <w:i w:val="0"/>
                <w:color w:val="000000"/>
                <w:sz w:val="24"/>
                <w:szCs w:val="24"/>
                <w:u w:val="none"/>
              </w:rPr>
            </w:pPr>
          </w:p>
        </w:tc>
        <w:tc>
          <w:tcPr>
            <w:tcW w:w="681" w:type="dxa"/>
            <w:vMerge w:val="continue"/>
            <w:tcBorders>
              <w:top w:val="single" w:color="000000" w:sz="4" w:space="0"/>
              <w:left w:val="single" w:color="000000" w:sz="4" w:space="0"/>
              <w:right w:val="single" w:color="000000" w:sz="4" w:space="0"/>
            </w:tcBorders>
            <w:shd w:val="clear" w:color="auto" w:fill="auto"/>
            <w:vAlign w:val="center"/>
          </w:tcPr>
          <w:p w14:paraId="243D4052">
            <w:pPr>
              <w:jc w:val="center"/>
              <w:rPr>
                <w:rFonts w:hint="eastAsia" w:ascii="宋体" w:hAnsi="宋体" w:eastAsia="宋体" w:cs="宋体"/>
                <w:i w:val="0"/>
                <w:color w:val="000000"/>
                <w:sz w:val="24"/>
                <w:szCs w:val="24"/>
                <w:u w:val="none"/>
              </w:rPr>
            </w:pPr>
          </w:p>
        </w:tc>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A7D55">
            <w:pPr>
              <w:jc w:val="center"/>
              <w:rPr>
                <w:rFonts w:hint="eastAsia" w:ascii="宋体" w:hAnsi="宋体" w:eastAsia="宋体" w:cs="宋体"/>
                <w:i w:val="0"/>
                <w:color w:val="000000"/>
                <w:sz w:val="24"/>
                <w:szCs w:val="24"/>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7EA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宣传策划数量</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4180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年初工作安排10处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6B5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D8F6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A8A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完成宣传策划数量</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2000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达到或超过目标得指标分，未达到目标值的，（完成数量/目标数量）*指标分</w:t>
            </w:r>
          </w:p>
        </w:tc>
      </w:tr>
      <w:tr w14:paraId="799DB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16" w:hRule="atLeast"/>
        </w:trPr>
        <w:tc>
          <w:tcPr>
            <w:tcW w:w="63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E2A2A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个性绩效指标（60分）</w:t>
            </w:r>
          </w:p>
        </w:tc>
        <w:tc>
          <w:tcPr>
            <w:tcW w:w="681" w:type="dxa"/>
            <w:vMerge w:val="continue"/>
            <w:tcBorders>
              <w:top w:val="single" w:color="000000" w:sz="4" w:space="0"/>
              <w:left w:val="single" w:color="000000" w:sz="4" w:space="0"/>
              <w:right w:val="single" w:color="000000" w:sz="4" w:space="0"/>
            </w:tcBorders>
            <w:shd w:val="clear" w:color="auto" w:fill="auto"/>
            <w:vAlign w:val="center"/>
          </w:tcPr>
          <w:p w14:paraId="260BFB31">
            <w:pPr>
              <w:jc w:val="center"/>
              <w:rPr>
                <w:rFonts w:hint="eastAsia" w:ascii="宋体" w:hAnsi="宋体" w:eastAsia="宋体" w:cs="宋体"/>
                <w:i w:val="0"/>
                <w:color w:val="000000"/>
                <w:sz w:val="24"/>
                <w:szCs w:val="24"/>
                <w:u w:val="none"/>
              </w:rPr>
            </w:pPr>
          </w:p>
        </w:tc>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8F920">
            <w:pPr>
              <w:jc w:val="center"/>
              <w:rPr>
                <w:rFonts w:hint="eastAsia" w:ascii="宋体" w:hAnsi="宋体" w:eastAsia="宋体" w:cs="宋体"/>
                <w:i w:val="0"/>
                <w:color w:val="000000"/>
                <w:sz w:val="24"/>
                <w:szCs w:val="24"/>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ED7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平台建设数量</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1F2B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年初工作安排2处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1D9B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BED4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431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完成平台建设数量</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8EED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达到或超过目标得指标分，未达到目标值的，（完成数量/目标数量）*指标分</w:t>
            </w:r>
          </w:p>
        </w:tc>
      </w:tr>
      <w:tr w14:paraId="7F747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61"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2ECC519">
            <w:pPr>
              <w:jc w:val="center"/>
              <w:rPr>
                <w:rFonts w:hint="eastAsia" w:ascii="宋体" w:hAnsi="宋体" w:eastAsia="宋体" w:cs="宋体"/>
                <w:i w:val="0"/>
                <w:color w:val="000000"/>
                <w:sz w:val="24"/>
                <w:szCs w:val="24"/>
                <w:u w:val="none"/>
              </w:rPr>
            </w:pPr>
          </w:p>
        </w:tc>
        <w:tc>
          <w:tcPr>
            <w:tcW w:w="681" w:type="dxa"/>
            <w:vMerge w:val="continue"/>
            <w:tcBorders>
              <w:top w:val="single" w:color="000000" w:sz="4" w:space="0"/>
              <w:left w:val="single" w:color="000000" w:sz="4" w:space="0"/>
              <w:right w:val="single" w:color="000000" w:sz="4" w:space="0"/>
            </w:tcBorders>
            <w:shd w:val="clear" w:color="auto" w:fill="auto"/>
            <w:vAlign w:val="center"/>
          </w:tcPr>
          <w:p w14:paraId="1FB4C2CE">
            <w:pPr>
              <w:jc w:val="center"/>
              <w:rPr>
                <w:rFonts w:hint="eastAsia" w:ascii="宋体" w:hAnsi="宋体" w:eastAsia="宋体" w:cs="宋体"/>
                <w:i w:val="0"/>
                <w:color w:val="000000"/>
                <w:sz w:val="24"/>
                <w:szCs w:val="24"/>
                <w:u w:val="none"/>
              </w:rPr>
            </w:pPr>
          </w:p>
        </w:tc>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2225A">
            <w:pPr>
              <w:jc w:val="center"/>
              <w:rPr>
                <w:rFonts w:hint="eastAsia" w:ascii="宋体" w:hAnsi="宋体" w:eastAsia="宋体" w:cs="宋体"/>
                <w:i w:val="0"/>
                <w:color w:val="000000"/>
                <w:sz w:val="24"/>
                <w:szCs w:val="24"/>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C87C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品牌打造数量</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971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年初工作安排1个</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1E4D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3AB1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0C91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品牌打造数量</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71CB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达到或超过目标得指标分，未达到目标值的，（完成数量/目标数量）*指标分</w:t>
            </w:r>
          </w:p>
        </w:tc>
      </w:tr>
      <w:tr w14:paraId="489E1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31"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C253BBE">
            <w:pPr>
              <w:jc w:val="center"/>
              <w:rPr>
                <w:rFonts w:hint="eastAsia" w:ascii="宋体" w:hAnsi="宋体" w:eastAsia="宋体" w:cs="宋体"/>
                <w:i w:val="0"/>
                <w:color w:val="000000"/>
                <w:sz w:val="24"/>
                <w:szCs w:val="24"/>
                <w:u w:val="none"/>
              </w:rPr>
            </w:pPr>
          </w:p>
        </w:tc>
        <w:tc>
          <w:tcPr>
            <w:tcW w:w="681" w:type="dxa"/>
            <w:vMerge w:val="continue"/>
            <w:tcBorders>
              <w:top w:val="single" w:color="000000" w:sz="4" w:space="0"/>
              <w:left w:val="single" w:color="000000" w:sz="4" w:space="0"/>
              <w:right w:val="single" w:color="000000" w:sz="4" w:space="0"/>
            </w:tcBorders>
            <w:shd w:val="clear" w:color="auto" w:fill="auto"/>
            <w:vAlign w:val="center"/>
          </w:tcPr>
          <w:p w14:paraId="37DDD006">
            <w:pPr>
              <w:jc w:val="center"/>
              <w:rPr>
                <w:rFonts w:hint="eastAsia" w:ascii="宋体" w:hAnsi="宋体" w:eastAsia="宋体" w:cs="宋体"/>
                <w:i w:val="0"/>
                <w:color w:val="000000"/>
                <w:sz w:val="24"/>
                <w:szCs w:val="24"/>
                <w:u w:val="none"/>
              </w:rPr>
            </w:pPr>
          </w:p>
        </w:tc>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ADF28">
            <w:pPr>
              <w:jc w:val="center"/>
              <w:rPr>
                <w:rFonts w:hint="eastAsia" w:ascii="宋体" w:hAnsi="宋体" w:eastAsia="宋体" w:cs="宋体"/>
                <w:i w:val="0"/>
                <w:color w:val="000000"/>
                <w:sz w:val="24"/>
                <w:szCs w:val="24"/>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EA2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经营主体补助数量</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30B6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年初工作安排10个</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5048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406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5F42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经营主体补助数量</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997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达到或超过目标得指标分，未达到目标值的，（完成数量/目标数量）*指标分</w:t>
            </w:r>
          </w:p>
        </w:tc>
      </w:tr>
      <w:tr w14:paraId="77A77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41"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113BAA4">
            <w:pPr>
              <w:jc w:val="center"/>
              <w:rPr>
                <w:rFonts w:hint="eastAsia" w:ascii="宋体" w:hAnsi="宋体" w:eastAsia="宋体" w:cs="宋体"/>
                <w:i w:val="0"/>
                <w:color w:val="000000"/>
                <w:sz w:val="24"/>
                <w:szCs w:val="24"/>
                <w:u w:val="none"/>
              </w:rPr>
            </w:pPr>
          </w:p>
        </w:tc>
        <w:tc>
          <w:tcPr>
            <w:tcW w:w="681" w:type="dxa"/>
            <w:vMerge w:val="continue"/>
            <w:tcBorders>
              <w:top w:val="single" w:color="000000" w:sz="4" w:space="0"/>
              <w:left w:val="single" w:color="000000" w:sz="4" w:space="0"/>
              <w:right w:val="single" w:color="000000" w:sz="4" w:space="0"/>
            </w:tcBorders>
            <w:shd w:val="clear" w:color="auto" w:fill="auto"/>
            <w:vAlign w:val="center"/>
          </w:tcPr>
          <w:p w14:paraId="315C9917">
            <w:pPr>
              <w:jc w:val="center"/>
              <w:rPr>
                <w:rFonts w:hint="eastAsia" w:ascii="宋体" w:hAnsi="宋体" w:eastAsia="宋体" w:cs="宋体"/>
                <w:i w:val="0"/>
                <w:color w:val="000000"/>
                <w:sz w:val="24"/>
                <w:szCs w:val="24"/>
                <w:u w:val="none"/>
              </w:rPr>
            </w:pPr>
          </w:p>
        </w:tc>
        <w:tc>
          <w:tcPr>
            <w:tcW w:w="9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898C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产出质量（15分）</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19EA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富硒产品质量要求</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8806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符合富硒产品相关标准</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CAF8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6420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0FD1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验收符合符合富硒产品相关标准</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25E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达到或超过目标得指标分，未达到目标值的，（完成数量/目标数量）*指标分</w:t>
            </w:r>
          </w:p>
        </w:tc>
      </w:tr>
      <w:tr w14:paraId="29F86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66"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7A4A744">
            <w:pPr>
              <w:jc w:val="center"/>
              <w:rPr>
                <w:rFonts w:hint="eastAsia" w:ascii="宋体" w:hAnsi="宋体" w:eastAsia="宋体" w:cs="宋体"/>
                <w:i w:val="0"/>
                <w:color w:val="000000"/>
                <w:sz w:val="24"/>
                <w:szCs w:val="24"/>
                <w:u w:val="none"/>
              </w:rPr>
            </w:pPr>
          </w:p>
        </w:tc>
        <w:tc>
          <w:tcPr>
            <w:tcW w:w="681" w:type="dxa"/>
            <w:vMerge w:val="continue"/>
            <w:tcBorders>
              <w:top w:val="single" w:color="000000" w:sz="4" w:space="0"/>
              <w:left w:val="single" w:color="000000" w:sz="4" w:space="0"/>
              <w:right w:val="single" w:color="000000" w:sz="4" w:space="0"/>
            </w:tcBorders>
            <w:shd w:val="clear" w:color="auto" w:fill="auto"/>
            <w:vAlign w:val="center"/>
          </w:tcPr>
          <w:p w14:paraId="1B4A9358">
            <w:pPr>
              <w:jc w:val="center"/>
              <w:rPr>
                <w:rFonts w:hint="eastAsia" w:ascii="宋体" w:hAnsi="宋体" w:eastAsia="宋体" w:cs="宋体"/>
                <w:i w:val="0"/>
                <w:color w:val="000000"/>
                <w:sz w:val="24"/>
                <w:szCs w:val="24"/>
                <w:u w:val="none"/>
              </w:rPr>
            </w:pPr>
          </w:p>
        </w:tc>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CC534">
            <w:pPr>
              <w:jc w:val="center"/>
              <w:rPr>
                <w:rFonts w:hint="eastAsia" w:ascii="宋体" w:hAnsi="宋体" w:eastAsia="宋体" w:cs="宋体"/>
                <w:i w:val="0"/>
                <w:color w:val="000000"/>
                <w:sz w:val="24"/>
                <w:szCs w:val="24"/>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8F85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平台、基地建设要求</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CDC7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符合《连城县富硒农业产业发展奖励补助办法（2020版》</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ED6A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9220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F444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符合《连城县富硒农业产业发展奖励补助办法（2020版》</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236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达到或超过目标得指标分，未达到目标值的，（完成数量/目标数量）*指标分</w:t>
            </w:r>
          </w:p>
        </w:tc>
      </w:tr>
      <w:tr w14:paraId="2D237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1"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62BC57F">
            <w:pPr>
              <w:jc w:val="center"/>
              <w:rPr>
                <w:rFonts w:hint="eastAsia" w:ascii="宋体" w:hAnsi="宋体" w:eastAsia="宋体" w:cs="宋体"/>
                <w:i w:val="0"/>
                <w:color w:val="000000"/>
                <w:sz w:val="24"/>
                <w:szCs w:val="24"/>
                <w:u w:val="none"/>
              </w:rPr>
            </w:pPr>
          </w:p>
        </w:tc>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1CD74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效益（20分）</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EB5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经济效益</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55AC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富硒产业实现产值</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25B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富硒产业实现年产值</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5B38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90E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FB35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通过项目实施，富硒产业实现年产值</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6D1E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达到或超过目标得指标分，未达到目标值的，（完成数量/目标数量）*指标分</w:t>
            </w:r>
          </w:p>
        </w:tc>
      </w:tr>
      <w:tr w14:paraId="7EECD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66"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34E4979">
            <w:pPr>
              <w:jc w:val="center"/>
              <w:rPr>
                <w:rFonts w:hint="eastAsia" w:ascii="宋体" w:hAnsi="宋体" w:eastAsia="宋体" w:cs="宋体"/>
                <w:i w:val="0"/>
                <w:color w:val="000000"/>
                <w:sz w:val="24"/>
                <w:szCs w:val="24"/>
                <w:u w:val="none"/>
              </w:rPr>
            </w:pPr>
          </w:p>
        </w:tc>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4EEC9">
            <w:pPr>
              <w:jc w:val="center"/>
              <w:rPr>
                <w:rFonts w:hint="eastAsia" w:ascii="宋体" w:hAnsi="宋体" w:eastAsia="宋体" w:cs="宋体"/>
                <w:i w:val="0"/>
                <w:color w:val="000000"/>
                <w:sz w:val="24"/>
                <w:szCs w:val="24"/>
                <w:u w:val="none"/>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62AA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社会效益</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0C06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增加就业人数</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CFD3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年初工作安排</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03F0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4CD7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57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当年富硒产业企业增加就业人数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9DBE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达到或超过目标得指标分，未达到目标值的，（完成数量/目标数量）*指标分</w:t>
            </w:r>
          </w:p>
        </w:tc>
      </w:tr>
      <w:tr w14:paraId="7800F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71"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560FBCD">
            <w:pPr>
              <w:jc w:val="center"/>
              <w:rPr>
                <w:rFonts w:hint="eastAsia" w:ascii="宋体" w:hAnsi="宋体" w:eastAsia="宋体" w:cs="宋体"/>
                <w:i w:val="0"/>
                <w:color w:val="000000"/>
                <w:sz w:val="24"/>
                <w:szCs w:val="24"/>
                <w:u w:val="none"/>
              </w:rPr>
            </w:pPr>
          </w:p>
        </w:tc>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5436C">
            <w:pPr>
              <w:jc w:val="center"/>
              <w:rPr>
                <w:rFonts w:hint="eastAsia" w:ascii="宋体" w:hAnsi="宋体" w:eastAsia="宋体" w:cs="宋体"/>
                <w:i w:val="0"/>
                <w:color w:val="000000"/>
                <w:sz w:val="24"/>
                <w:szCs w:val="24"/>
                <w:u w:val="none"/>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9E9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环境效益</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1760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对环境影响</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57BC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是否符合环保相关规定</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889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DF78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FEB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符合环保相关规定</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F997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达到或超过目标得指标分，未达到目标值的，（完成数量/目标数量）*指标分</w:t>
            </w:r>
          </w:p>
        </w:tc>
      </w:tr>
      <w:tr w14:paraId="681B1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16"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599A3F8">
            <w:pPr>
              <w:jc w:val="center"/>
              <w:rPr>
                <w:rFonts w:hint="eastAsia" w:ascii="宋体" w:hAnsi="宋体" w:eastAsia="宋体" w:cs="宋体"/>
                <w:i w:val="0"/>
                <w:color w:val="000000"/>
                <w:sz w:val="24"/>
                <w:szCs w:val="24"/>
                <w:u w:val="none"/>
              </w:rPr>
            </w:pPr>
          </w:p>
        </w:tc>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F677F">
            <w:pPr>
              <w:jc w:val="center"/>
              <w:rPr>
                <w:rFonts w:hint="eastAsia" w:ascii="宋体" w:hAnsi="宋体" w:eastAsia="宋体" w:cs="宋体"/>
                <w:i w:val="0"/>
                <w:color w:val="000000"/>
                <w:sz w:val="24"/>
                <w:szCs w:val="24"/>
                <w:u w:val="none"/>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A96B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可持续发展效益</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A5C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项目发展要求</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098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为后续项目发展提供保障</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500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435D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B1A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为后续产业持续发展提供基础</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3F21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达到或超过目标得指标分，未达到目标值的，（完成数量/目标数量）*指标分</w:t>
            </w:r>
          </w:p>
        </w:tc>
      </w:tr>
      <w:tr w14:paraId="44A62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1"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484D0F5">
            <w:pPr>
              <w:jc w:val="center"/>
              <w:rPr>
                <w:rFonts w:hint="eastAsia" w:ascii="宋体" w:hAnsi="宋体" w:eastAsia="宋体" w:cs="宋体"/>
                <w:i w:val="0"/>
                <w:color w:val="000000"/>
                <w:sz w:val="24"/>
                <w:szCs w:val="24"/>
                <w:u w:val="none"/>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5EC3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满意度</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CB7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服务对象满意度（10分）</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732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企业满意度</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95D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年初工作安排</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1133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357E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A7F7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企业满意度达90%以上</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29AB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达到或超过目标得指标分，未达到目标值的，（完成数量/目标数量）*指标分</w:t>
            </w:r>
          </w:p>
        </w:tc>
      </w:tr>
      <w:tr w14:paraId="31413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F1F0615">
            <w:pPr>
              <w:jc w:val="center"/>
              <w:rPr>
                <w:rFonts w:hint="eastAsia" w:ascii="宋体" w:hAnsi="宋体" w:eastAsia="宋体" w:cs="宋体"/>
                <w:i w:val="0"/>
                <w:color w:val="000000"/>
                <w:sz w:val="24"/>
                <w:szCs w:val="24"/>
                <w:u w:val="none"/>
              </w:rPr>
            </w:pPr>
          </w:p>
        </w:tc>
        <w:tc>
          <w:tcPr>
            <w:tcW w:w="396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01CBA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 分</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EAE9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0D79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90.31</w:t>
            </w:r>
          </w:p>
        </w:tc>
        <w:tc>
          <w:tcPr>
            <w:tcW w:w="34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1BBDD3">
            <w:pPr>
              <w:jc w:val="center"/>
              <w:rPr>
                <w:rFonts w:hint="eastAsia" w:ascii="宋体" w:hAnsi="宋体" w:eastAsia="宋体" w:cs="宋体"/>
                <w:i w:val="0"/>
                <w:color w:val="000000"/>
                <w:sz w:val="24"/>
                <w:szCs w:val="24"/>
                <w:u w:val="none"/>
              </w:rPr>
            </w:pPr>
          </w:p>
        </w:tc>
      </w:tr>
    </w:tbl>
    <w:p w14:paraId="00235823">
      <w:pPr>
        <w:spacing w:line="600" w:lineRule="exact"/>
        <w:ind w:firstLine="600" w:firstLineChars="200"/>
        <w:rPr>
          <w:rFonts w:hint="eastAsia" w:ascii="黑体" w:hAnsi="黑体" w:eastAsia="黑体"/>
        </w:rPr>
      </w:pPr>
    </w:p>
    <w:p w14:paraId="2AE03CB6">
      <w:pPr>
        <w:spacing w:line="600" w:lineRule="exact"/>
        <w:ind w:firstLine="600" w:firstLineChars="200"/>
        <w:rPr>
          <w:rFonts w:ascii="黑体" w:hAnsi="黑体" w:eastAsia="黑体"/>
        </w:rPr>
      </w:pPr>
      <w:r>
        <w:rPr>
          <w:rFonts w:hint="eastAsia" w:ascii="黑体" w:hAnsi="黑体" w:eastAsia="黑体"/>
        </w:rPr>
        <w:t>四、绩效评价指标分析</w:t>
      </w:r>
    </w:p>
    <w:p w14:paraId="0652014B">
      <w:pPr>
        <w:spacing w:line="600" w:lineRule="exact"/>
        <w:ind w:firstLine="600" w:firstLineChars="200"/>
        <w:outlineLvl w:val="0"/>
        <w:rPr>
          <w:rFonts w:ascii="仿宋_GB2312"/>
        </w:rPr>
      </w:pPr>
      <w:r>
        <w:rPr>
          <w:rFonts w:hint="eastAsia" w:ascii="仿宋_GB2312"/>
        </w:rPr>
        <w:t>（一）项目决策</w:t>
      </w:r>
      <w:r>
        <w:rPr>
          <w:rFonts w:hint="eastAsia" w:ascii="仿宋_GB2312"/>
          <w:lang w:eastAsia="zh-CN"/>
        </w:rPr>
        <w:t>：</w:t>
      </w:r>
      <w:r>
        <w:rPr>
          <w:rFonts w:hint="eastAsia" w:ascii="仿宋_GB2312"/>
        </w:rPr>
        <w:t>项目立项符合国家法律法规、国民经济发展规划和相关政策；</w:t>
      </w:r>
      <w:r>
        <w:rPr>
          <w:rFonts w:hint="eastAsia" w:ascii="仿宋_GB2312"/>
          <w:lang w:eastAsia="zh-CN"/>
        </w:rPr>
        <w:t>符合</w:t>
      </w:r>
      <w:r>
        <w:rPr>
          <w:rFonts w:hint="eastAsia" w:ascii="仿宋_GB2312"/>
        </w:rPr>
        <w:t>行业发展规划和政策要求；项目按照规定的程序申请设立；预算确定的项目投资额或资金量与工作任务相匹配</w:t>
      </w:r>
      <w:r>
        <w:rPr>
          <w:rFonts w:hint="eastAsia" w:ascii="仿宋_GB2312"/>
          <w:lang w:eastAsia="zh-CN"/>
        </w:rPr>
        <w:t>等</w:t>
      </w:r>
      <w:r>
        <w:rPr>
          <w:rFonts w:hint="eastAsia" w:ascii="仿宋_GB2312"/>
        </w:rPr>
        <w:t>。</w:t>
      </w:r>
    </w:p>
    <w:p w14:paraId="5BA907DB">
      <w:pPr>
        <w:numPr>
          <w:ilvl w:val="0"/>
          <w:numId w:val="0"/>
        </w:numPr>
        <w:spacing w:line="600" w:lineRule="exact"/>
        <w:ind w:firstLine="600" w:firstLineChars="200"/>
        <w:outlineLvl w:val="0"/>
        <w:rPr>
          <w:rFonts w:hint="eastAsia" w:ascii="仿宋_GB2312" w:eastAsia="仿宋_GB2312"/>
          <w:lang w:val="en-US" w:eastAsia="zh-CN"/>
        </w:rPr>
      </w:pPr>
      <w:r>
        <w:rPr>
          <w:rFonts w:hint="eastAsia" w:ascii="仿宋_GB2312"/>
        </w:rPr>
        <w:t>（二）项目过程</w:t>
      </w:r>
      <w:r>
        <w:rPr>
          <w:rFonts w:hint="eastAsia" w:ascii="仿宋_GB2312"/>
          <w:lang w:eastAsia="zh-CN"/>
        </w:rPr>
        <w:t>：根据项目绩效目标，实施项目管理过程；并且</w:t>
      </w:r>
      <w:r>
        <w:rPr>
          <w:rFonts w:hint="eastAsia" w:ascii="仿宋_GB2312"/>
          <w:lang w:val="en-US" w:eastAsia="zh-CN"/>
        </w:rPr>
        <w:t>项目资金的使用符合国家财经法规和财务管理制度以及有关专项资金管理办法的规定；资金的拨付有完整的审批程序和手续；符合项目预算批复或合同规定的用途；不存在截留、挤占、挪用、虚列支出等情况。</w:t>
      </w:r>
    </w:p>
    <w:p w14:paraId="25B26F3C">
      <w:pPr>
        <w:spacing w:line="600" w:lineRule="exact"/>
        <w:ind w:firstLine="600" w:firstLineChars="200"/>
        <w:outlineLvl w:val="0"/>
        <w:rPr>
          <w:rFonts w:ascii="仿宋_GB2312"/>
        </w:rPr>
      </w:pPr>
    </w:p>
    <w:p w14:paraId="2E0C07EA">
      <w:pPr>
        <w:spacing w:line="600" w:lineRule="exact"/>
        <w:ind w:firstLine="600" w:firstLineChars="200"/>
        <w:outlineLvl w:val="0"/>
        <w:rPr>
          <w:rFonts w:ascii="仿宋_GB2312"/>
        </w:rPr>
      </w:pPr>
      <w:r>
        <w:rPr>
          <w:rFonts w:hint="eastAsia" w:ascii="仿宋_GB2312"/>
        </w:rPr>
        <w:t>（三）项目产出</w:t>
      </w:r>
      <w:r>
        <w:rPr>
          <w:rFonts w:hint="eastAsia" w:ascii="仿宋_GB2312"/>
          <w:lang w:eastAsia="zh-CN"/>
        </w:rPr>
        <w:t>：基本实现项目，除经营主体补助数量大部分实现外</w:t>
      </w:r>
      <w:r>
        <w:rPr>
          <w:rFonts w:hint="eastAsia" w:ascii="仿宋_GB2312"/>
        </w:rPr>
        <w:t>。</w:t>
      </w:r>
    </w:p>
    <w:p w14:paraId="083E90A1">
      <w:pPr>
        <w:spacing w:line="600" w:lineRule="exact"/>
        <w:ind w:firstLine="600" w:firstLineChars="200"/>
        <w:outlineLvl w:val="0"/>
        <w:rPr>
          <w:rFonts w:ascii="仿宋_GB2312"/>
        </w:rPr>
      </w:pPr>
      <w:r>
        <w:rPr>
          <w:rFonts w:hint="eastAsia" w:ascii="仿宋_GB2312"/>
        </w:rPr>
        <w:t>（四）项目效益</w:t>
      </w:r>
      <w:r>
        <w:rPr>
          <w:rFonts w:hint="eastAsia" w:ascii="仿宋_GB2312"/>
          <w:lang w:eastAsia="zh-CN"/>
        </w:rPr>
        <w:t>：实现项目经济、社会效益、可持续发展性、企业满意度达</w:t>
      </w:r>
      <w:r>
        <w:rPr>
          <w:rFonts w:hint="eastAsia" w:ascii="仿宋_GB2312"/>
          <w:lang w:val="en-US" w:eastAsia="zh-CN"/>
        </w:rPr>
        <w:t>90%以上等</w:t>
      </w:r>
      <w:r>
        <w:rPr>
          <w:rFonts w:hint="eastAsia" w:ascii="仿宋_GB2312"/>
        </w:rPr>
        <w:t>。</w:t>
      </w:r>
    </w:p>
    <w:p w14:paraId="62020E84">
      <w:pPr>
        <w:spacing w:line="600" w:lineRule="exact"/>
        <w:ind w:firstLine="600" w:firstLineChars="200"/>
        <w:rPr>
          <w:rFonts w:hint="eastAsia" w:ascii="黑体" w:hAnsi="黑体" w:eastAsia="黑体"/>
        </w:rPr>
      </w:pPr>
      <w:r>
        <w:rPr>
          <w:rFonts w:hint="eastAsia" w:ascii="黑体" w:hAnsi="黑体" w:eastAsia="黑体"/>
        </w:rPr>
        <w:t>五、主要经验及做法、存在的问题及原因分析</w:t>
      </w:r>
    </w:p>
    <w:p w14:paraId="064AF40F">
      <w:pPr>
        <w:spacing w:line="600" w:lineRule="exact"/>
        <w:ind w:firstLine="600" w:firstLineChars="200"/>
        <w:outlineLvl w:val="0"/>
        <w:rPr>
          <w:rFonts w:hint="eastAsia" w:ascii="仿宋_GB2312"/>
          <w:lang w:eastAsia="zh-CN"/>
        </w:rPr>
      </w:pPr>
      <w:r>
        <w:rPr>
          <w:rFonts w:hint="eastAsia" w:ascii="仿宋_GB2312"/>
          <w:lang w:eastAsia="zh-CN"/>
        </w:rPr>
        <w:t>富硒农业产业发展项目拨付进度偏慢，原因是财政资金困难，暂时无法拨付。</w:t>
      </w:r>
    </w:p>
    <w:p w14:paraId="199AA609">
      <w:pPr>
        <w:spacing w:line="600" w:lineRule="exact"/>
        <w:ind w:firstLine="600" w:firstLineChars="200"/>
        <w:rPr>
          <w:rFonts w:hint="eastAsia" w:ascii="黑体" w:hAnsi="黑体" w:eastAsia="黑体"/>
        </w:rPr>
      </w:pPr>
      <w:r>
        <w:rPr>
          <w:rFonts w:hint="eastAsia" w:ascii="黑体" w:hAnsi="黑体" w:eastAsia="黑体"/>
        </w:rPr>
        <w:t>六、有关建议</w:t>
      </w:r>
    </w:p>
    <w:p w14:paraId="40D5E2C8">
      <w:pPr>
        <w:spacing w:line="620" w:lineRule="exact"/>
        <w:ind w:firstLine="640" w:firstLineChars="200"/>
        <w:rPr>
          <w:rFonts w:hint="eastAsia" w:ascii="仿宋" w:hAnsi="仿宋" w:eastAsia="仿宋" w:cs="仿宋"/>
          <w:sz w:val="32"/>
          <w:lang w:eastAsia="zh-CN"/>
        </w:rPr>
      </w:pPr>
      <w:r>
        <w:rPr>
          <w:rFonts w:hint="eastAsia" w:ascii="仿宋" w:hAnsi="仿宋" w:eastAsia="仿宋"/>
          <w:sz w:val="32"/>
          <w:szCs w:val="32"/>
        </w:rPr>
        <w:t>1</w:t>
      </w:r>
      <w:r>
        <w:rPr>
          <w:rFonts w:ascii="仿宋" w:hAnsi="仿宋" w:eastAsia="仿宋" w:cs="仿宋"/>
          <w:sz w:val="32"/>
        </w:rPr>
        <w:t>. 根据项目特点，具体问题具体分析、处理。加快中央财政衔接乡村振兴资金项目建设进度</w:t>
      </w:r>
      <w:r>
        <w:rPr>
          <w:rFonts w:hint="eastAsia" w:ascii="仿宋" w:hAnsi="仿宋" w:eastAsia="仿宋" w:cs="仿宋"/>
          <w:sz w:val="32"/>
          <w:lang w:eastAsia="zh-CN"/>
        </w:rPr>
        <w:t>。</w:t>
      </w:r>
    </w:p>
    <w:p w14:paraId="7DB036AC">
      <w:pPr>
        <w:spacing w:line="620" w:lineRule="exact"/>
        <w:ind w:firstLine="640" w:firstLineChars="200"/>
        <w:rPr>
          <w:rFonts w:hint="eastAsia" w:ascii="黑体" w:hAnsi="黑体" w:eastAsia="黑体"/>
        </w:rPr>
      </w:pPr>
      <w:r>
        <w:rPr>
          <w:rFonts w:hint="eastAsia" w:ascii="仿宋" w:hAnsi="仿宋" w:eastAsia="仿宋" w:cs="仿宋"/>
          <w:sz w:val="32"/>
          <w:lang w:val="en-US" w:eastAsia="zh-CN"/>
        </w:rPr>
        <w:t>2、由每个项目负责人对项目建设情况进行跟踪，发现制约因素，消除制约原因，尽快完成项目建设。</w:t>
      </w:r>
    </w:p>
    <w:p w14:paraId="4F8C25CE">
      <w:pPr>
        <w:spacing w:line="600" w:lineRule="exact"/>
        <w:ind w:firstLine="600" w:firstLineChars="200"/>
        <w:rPr>
          <w:rFonts w:hint="eastAsia" w:ascii="黑体" w:hAnsi="黑体" w:eastAsia="黑体"/>
        </w:rPr>
      </w:pPr>
    </w:p>
    <w:p w14:paraId="362BECC6">
      <w:pPr>
        <w:numPr>
          <w:ilvl w:val="0"/>
          <w:numId w:val="1"/>
        </w:numPr>
        <w:spacing w:line="600" w:lineRule="exact"/>
        <w:ind w:firstLine="600" w:firstLineChars="200"/>
        <w:rPr>
          <w:rFonts w:hint="eastAsia" w:ascii="黑体" w:hAnsi="黑体" w:eastAsia="黑体"/>
        </w:rPr>
      </w:pPr>
      <w:r>
        <w:rPr>
          <w:rFonts w:hint="eastAsia" w:ascii="黑体" w:hAnsi="黑体" w:eastAsia="黑体"/>
        </w:rPr>
        <w:t>其他需要说明的问题</w:t>
      </w:r>
    </w:p>
    <w:p w14:paraId="326B7E6F">
      <w:pPr>
        <w:numPr>
          <w:ilvl w:val="0"/>
          <w:numId w:val="0"/>
        </w:numPr>
        <w:spacing w:line="600" w:lineRule="exact"/>
        <w:ind w:firstLine="600"/>
        <w:rPr>
          <w:rFonts w:hint="eastAsia" w:ascii="仿宋" w:hAnsi="仿宋" w:eastAsia="仿宋" w:cs="仿宋"/>
          <w:sz w:val="32"/>
          <w:lang w:val="en-US" w:eastAsia="zh-CN"/>
        </w:rPr>
      </w:pPr>
      <w:r>
        <w:rPr>
          <w:rFonts w:hint="eastAsia" w:ascii="仿宋" w:hAnsi="仿宋" w:eastAsia="仿宋" w:cs="仿宋"/>
          <w:sz w:val="32"/>
          <w:lang w:val="en-US" w:eastAsia="zh-CN"/>
        </w:rPr>
        <w:t>无。</w:t>
      </w:r>
      <w:bookmarkStart w:id="0" w:name="_GoBack"/>
      <w:bookmarkEnd w:id="0"/>
    </w:p>
    <w:p w14:paraId="3CE0776B">
      <w:pPr>
        <w:numPr>
          <w:ilvl w:val="0"/>
          <w:numId w:val="0"/>
        </w:numPr>
        <w:spacing w:line="600" w:lineRule="exact"/>
        <w:ind w:firstLine="600"/>
        <w:rPr>
          <w:rFonts w:hint="eastAsia" w:ascii="仿宋" w:hAnsi="仿宋" w:eastAsia="仿宋" w:cs="仿宋"/>
          <w:sz w:val="32"/>
          <w:lang w:val="en-US" w:eastAsia="zh-CN"/>
        </w:rPr>
      </w:pPr>
    </w:p>
    <w:p w14:paraId="3EF13563">
      <w:pPr>
        <w:numPr>
          <w:ilvl w:val="0"/>
          <w:numId w:val="0"/>
        </w:numPr>
        <w:spacing w:line="600" w:lineRule="exact"/>
        <w:ind w:firstLine="600"/>
        <w:rPr>
          <w:rFonts w:hint="eastAsia" w:ascii="仿宋" w:hAnsi="仿宋" w:eastAsia="仿宋" w:cs="仿宋"/>
          <w:sz w:val="32"/>
          <w:lang w:val="en-US" w:eastAsia="zh-CN"/>
        </w:rPr>
      </w:pPr>
    </w:p>
    <w:p w14:paraId="00611082">
      <w:pPr>
        <w:numPr>
          <w:ilvl w:val="0"/>
          <w:numId w:val="0"/>
        </w:numPr>
        <w:spacing w:line="600" w:lineRule="exact"/>
        <w:ind w:firstLine="600"/>
        <w:rPr>
          <w:rFonts w:hint="eastAsia" w:ascii="仿宋" w:hAnsi="仿宋" w:eastAsia="仿宋" w:cs="仿宋"/>
          <w:sz w:val="32"/>
          <w:lang w:val="en-US" w:eastAsia="zh-CN"/>
        </w:rPr>
      </w:pPr>
    </w:p>
    <w:p w14:paraId="0FC13F1D">
      <w:pPr>
        <w:numPr>
          <w:ilvl w:val="0"/>
          <w:numId w:val="0"/>
        </w:numPr>
        <w:spacing w:line="600" w:lineRule="exact"/>
        <w:ind w:firstLine="600"/>
        <w:rPr>
          <w:rFonts w:hint="eastAsia" w:ascii="仿宋" w:hAnsi="仿宋" w:eastAsia="仿宋" w:cs="仿宋"/>
          <w:sz w:val="32"/>
          <w:lang w:val="en-US" w:eastAsia="zh-CN"/>
        </w:rPr>
      </w:pPr>
    </w:p>
    <w:p w14:paraId="77B4561F">
      <w:pPr>
        <w:numPr>
          <w:ilvl w:val="0"/>
          <w:numId w:val="0"/>
        </w:numPr>
        <w:spacing w:line="600" w:lineRule="exact"/>
        <w:ind w:firstLine="600"/>
        <w:rPr>
          <w:rFonts w:hint="eastAsia" w:ascii="仿宋" w:hAnsi="仿宋" w:eastAsia="仿宋" w:cs="仿宋"/>
          <w:sz w:val="32"/>
          <w:lang w:val="en-US" w:eastAsia="zh-CN"/>
        </w:rPr>
      </w:pPr>
      <w:r>
        <w:rPr>
          <w:rFonts w:hint="eastAsia" w:ascii="仿宋" w:hAnsi="仿宋" w:eastAsia="仿宋" w:cs="仿宋"/>
          <w:sz w:val="32"/>
          <w:lang w:val="en-US" w:eastAsia="zh-CN"/>
        </w:rPr>
        <w:t xml:space="preserve">                                  2025年4月25日</w:t>
      </w:r>
    </w:p>
    <w:sectPr>
      <w:headerReference r:id="rId3" w:type="default"/>
      <w:footerReference r:id="rId4" w:type="default"/>
      <w:pgSz w:w="11906" w:h="16838"/>
      <w:pgMar w:top="1928" w:right="1531" w:bottom="1701" w:left="1531" w:header="737" w:footer="851" w:gutter="0"/>
      <w:pgNumType w:fmt="decimal" w:start="1"/>
      <w:cols w:space="720" w:num="1"/>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9729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2D3ECE">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22D3ECE">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CC5FC">
    <w:pPr>
      <w:pStyle w:val="3"/>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AFE663"/>
    <w:multiLevelType w:val="singleLevel"/>
    <w:tmpl w:val="68AFE663"/>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30D"/>
    <w:rsid w:val="001943D4"/>
    <w:rsid w:val="003336D0"/>
    <w:rsid w:val="006629C0"/>
    <w:rsid w:val="00680957"/>
    <w:rsid w:val="0075730D"/>
    <w:rsid w:val="00A00C52"/>
    <w:rsid w:val="00A813DF"/>
    <w:rsid w:val="00B87432"/>
    <w:rsid w:val="00C84B75"/>
    <w:rsid w:val="00CE3719"/>
    <w:rsid w:val="00F36228"/>
    <w:rsid w:val="029D7225"/>
    <w:rsid w:val="02AF575C"/>
    <w:rsid w:val="031769C5"/>
    <w:rsid w:val="091702C8"/>
    <w:rsid w:val="099D10B1"/>
    <w:rsid w:val="09D02FE7"/>
    <w:rsid w:val="0C18062F"/>
    <w:rsid w:val="0C1F22FF"/>
    <w:rsid w:val="0E0A2204"/>
    <w:rsid w:val="131B156F"/>
    <w:rsid w:val="1747756B"/>
    <w:rsid w:val="176A4F12"/>
    <w:rsid w:val="1A0447C7"/>
    <w:rsid w:val="1A044979"/>
    <w:rsid w:val="1AD77627"/>
    <w:rsid w:val="1CFD5F81"/>
    <w:rsid w:val="1E6F13B0"/>
    <w:rsid w:val="1F852EB1"/>
    <w:rsid w:val="208527F7"/>
    <w:rsid w:val="23501824"/>
    <w:rsid w:val="23694E3C"/>
    <w:rsid w:val="24837AF6"/>
    <w:rsid w:val="248C384C"/>
    <w:rsid w:val="266B4FBE"/>
    <w:rsid w:val="271D7370"/>
    <w:rsid w:val="27FE23D7"/>
    <w:rsid w:val="2D75063B"/>
    <w:rsid w:val="2E4E1550"/>
    <w:rsid w:val="36F32237"/>
    <w:rsid w:val="37E13BA0"/>
    <w:rsid w:val="3A805A83"/>
    <w:rsid w:val="43217401"/>
    <w:rsid w:val="463E5AE3"/>
    <w:rsid w:val="472A584F"/>
    <w:rsid w:val="474116D4"/>
    <w:rsid w:val="48690731"/>
    <w:rsid w:val="48703D94"/>
    <w:rsid w:val="4A6979A1"/>
    <w:rsid w:val="4B780E67"/>
    <w:rsid w:val="4C9D3E6B"/>
    <w:rsid w:val="4E8E18A8"/>
    <w:rsid w:val="4EFC0B37"/>
    <w:rsid w:val="53150ACD"/>
    <w:rsid w:val="54F055B0"/>
    <w:rsid w:val="565F7A3E"/>
    <w:rsid w:val="57450D99"/>
    <w:rsid w:val="58A71FE2"/>
    <w:rsid w:val="58E12013"/>
    <w:rsid w:val="58E33518"/>
    <w:rsid w:val="5F376037"/>
    <w:rsid w:val="5F57442F"/>
    <w:rsid w:val="60627A0A"/>
    <w:rsid w:val="616F4F0C"/>
    <w:rsid w:val="644E0A02"/>
    <w:rsid w:val="659A758C"/>
    <w:rsid w:val="660E2828"/>
    <w:rsid w:val="683E6EA3"/>
    <w:rsid w:val="6BD33A9F"/>
    <w:rsid w:val="6C4832D4"/>
    <w:rsid w:val="6D932536"/>
    <w:rsid w:val="706F0F79"/>
    <w:rsid w:val="74E664F0"/>
    <w:rsid w:val="76DC4847"/>
    <w:rsid w:val="7AD17F38"/>
    <w:rsid w:val="7C7B2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rFonts w:ascii="Times New Roman" w:hAnsi="Times New Roman" w:eastAsia="仿宋_GB2312" w:cs="Times New Roman"/>
      <w:sz w:val="18"/>
      <w:szCs w:val="18"/>
    </w:rPr>
  </w:style>
  <w:style w:type="character" w:customStyle="1" w:styleId="7">
    <w:name w:val="页脚 Char"/>
    <w:basedOn w:val="5"/>
    <w:link w:val="2"/>
    <w:semiHidden/>
    <w:uiPriority w:val="99"/>
    <w:rPr>
      <w:rFonts w:ascii="Times New Roman" w:hAnsi="Times New Roman" w:eastAsia="仿宋_GB2312" w:cs="Times New Roman"/>
      <w:sz w:val="18"/>
      <w:szCs w:val="18"/>
    </w:rPr>
  </w:style>
  <w:style w:type="character" w:customStyle="1" w:styleId="8">
    <w:name w:val="font21"/>
    <w:basedOn w:val="5"/>
    <w:qFormat/>
    <w:uiPriority w:val="0"/>
    <w:rPr>
      <w:rFonts w:hint="eastAsia" w:ascii="宋体" w:hAnsi="宋体" w:eastAsia="宋体" w:cs="宋体"/>
      <w:color w:val="000000"/>
      <w:sz w:val="24"/>
      <w:szCs w:val="24"/>
      <w:u w:val="none"/>
    </w:rPr>
  </w:style>
  <w:style w:type="character" w:customStyle="1" w:styleId="9">
    <w:name w:val="font11"/>
    <w:basedOn w:val="5"/>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14</Pages>
  <Words>4649</Words>
  <Characters>4759</Characters>
  <Lines>2</Lines>
  <Paragraphs>1</Paragraphs>
  <TotalTime>14</TotalTime>
  <ScaleCrop>false</ScaleCrop>
  <LinksUpToDate>false</LinksUpToDate>
  <CharactersWithSpaces>4847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2020-03-31T03:47:00Z</dcterms:created>
  <dc:creator>郭珩</dc:creator>
  <cp:lastModifiedBy>赖炜鑫</cp:lastModifiedBy>
  <cp:lastPrinted>2020-03-31T06:19:00Z</cp:lastPrinted>
  <dcterms:modified xsi:type="dcterms:W3CDTF">2026-03-20T03:21:03Z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eyJoZGlkIjoiNmIwNTQxNjIwYmUzMzE2M2Q5NmI1ODBiYTI3Y2E0NGEiLCJ1c2VySWQiOiI0NjAxOTM5MTQifQ==</vt:lpwstr>
  </property>
  <property fmtid="{D5CDD505-2E9C-101B-9397-08002B2CF9AE}" pid="4" name="ICV">
    <vt:lpwstr>14CC758F6E8C400384186FDE16026C5B_12</vt:lpwstr>
  </property>
</Properties>
</file>