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92EB9">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 w:hAnsi="仿宋" w:eastAsia="仿宋" w:cs="仿宋"/>
          <w:sz w:val="32"/>
          <w:szCs w:val="32"/>
          <w:lang w:val="en-US" w:eastAsia="zh-CN"/>
        </w:rPr>
      </w:pPr>
      <w:bookmarkStart w:id="0" w:name="_GoBack"/>
      <w:bookmarkEnd w:id="0"/>
      <w:r>
        <w:rPr>
          <w:rFonts w:hint="eastAsia" w:ascii="仿宋" w:hAnsi="仿宋" w:eastAsia="仿宋" w:cs="仿宋"/>
          <w:sz w:val="32"/>
          <w:szCs w:val="32"/>
          <w:lang w:eastAsia="zh-CN"/>
        </w:rPr>
        <w:t>附件</w:t>
      </w:r>
      <w:r>
        <w:rPr>
          <w:rFonts w:hint="eastAsia" w:ascii="仿宋" w:hAnsi="仿宋" w:eastAsia="仿宋" w:cs="仿宋"/>
          <w:sz w:val="32"/>
          <w:szCs w:val="32"/>
          <w:lang w:val="en-US" w:eastAsia="zh-CN"/>
        </w:rPr>
        <w:t>3</w:t>
      </w:r>
    </w:p>
    <w:p w14:paraId="5401BBE9">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 w:hAnsi="仿宋" w:eastAsia="仿宋" w:cs="仿宋"/>
          <w:sz w:val="32"/>
          <w:szCs w:val="32"/>
          <w:lang w:val="en-US" w:eastAsia="zh-CN"/>
        </w:rPr>
      </w:pPr>
    </w:p>
    <w:p w14:paraId="554EEACC">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福建省连城县林坊镇转移支付2025年度绩效自评报告</w:t>
      </w:r>
    </w:p>
    <w:p w14:paraId="1324E2B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lang w:val="en-US" w:eastAsia="zh-CN"/>
        </w:rPr>
      </w:pPr>
    </w:p>
    <w:p w14:paraId="1AE3A28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一、绩效目标分解下达情况</w:t>
      </w:r>
    </w:p>
    <w:p w14:paraId="0870B0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default" w:ascii="仿宋" w:hAnsi="仿宋" w:eastAsia="仿宋" w:cs="仿宋"/>
          <w:sz w:val="32"/>
          <w:szCs w:val="32"/>
          <w:lang w:val="en-US" w:eastAsia="zh-CN"/>
        </w:rPr>
        <w:t>为了引导和支持地方提供基本公共文化服务项目，改善基层公共文化设施条件，加强基层公共文化服务人才队伍建设等，支持加快构建现代公共文化服务体系，促进基本公共文化服务标准化、均等化，保障广大群众进行文化鉴赏、开展文化活动等基本文化权益。</w:t>
      </w:r>
    </w:p>
    <w:p w14:paraId="194E6B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二、绩效情况分析</w:t>
      </w:r>
    </w:p>
    <w:p w14:paraId="2EC3902D">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（一）资金投入情况分析。</w:t>
      </w:r>
    </w:p>
    <w:p w14:paraId="11C885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default" w:ascii="Times New Roman" w:hAnsi="Times New Roman" w:eastAsia="仿宋_GB2312" w:cs="Times New Roman"/>
          <w:color w:val="auto"/>
          <w:kern w:val="0"/>
          <w:sz w:val="32"/>
          <w:szCs w:val="32"/>
          <w:lang w:val="en-US" w:eastAsia="zh-CN" w:bidi="ar"/>
        </w:rPr>
        <w:t>本项目年度资金总额预算数为</w:t>
      </w:r>
      <w:r>
        <w:rPr>
          <w:rFonts w:hint="eastAsia" w:ascii="Times New Roman" w:hAnsi="Times New Roman" w:eastAsia="仿宋_GB2312" w:cs="Times New Roman"/>
          <w:color w:val="auto"/>
          <w:kern w:val="0"/>
          <w:sz w:val="32"/>
          <w:szCs w:val="32"/>
          <w:lang w:val="en-US" w:eastAsia="zh-CN" w:bidi="ar"/>
        </w:rPr>
        <w:t>2.5</w:t>
      </w:r>
      <w:r>
        <w:rPr>
          <w:rFonts w:hint="default" w:ascii="Times New Roman" w:hAnsi="Times New Roman" w:eastAsia="仿宋_GB2312" w:cs="Times New Roman"/>
          <w:color w:val="auto"/>
          <w:kern w:val="0"/>
          <w:sz w:val="32"/>
          <w:szCs w:val="32"/>
          <w:lang w:val="en-US" w:eastAsia="zh-CN" w:bidi="ar"/>
        </w:rPr>
        <w:t>万元</w:t>
      </w:r>
      <w:r>
        <w:rPr>
          <w:rFonts w:hint="eastAsia" w:ascii="Times New Roman" w:hAnsi="Times New Roman" w:eastAsia="仿宋_GB2312" w:cs="Times New Roman"/>
          <w:color w:val="auto"/>
          <w:kern w:val="0"/>
          <w:sz w:val="32"/>
          <w:szCs w:val="32"/>
          <w:lang w:val="en-US" w:eastAsia="zh-CN" w:bidi="ar"/>
        </w:rPr>
        <w:t>，主要用于林坊镇综合文化站免费开放购买图书、运动器材、日常管理、保洁费用、日常维修等费用支出</w:t>
      </w:r>
      <w:r>
        <w:rPr>
          <w:rFonts w:hint="eastAsia" w:ascii="仿宋" w:hAnsi="仿宋" w:eastAsia="仿宋" w:cs="仿宋"/>
          <w:color w:val="auto"/>
          <w:sz w:val="32"/>
          <w:szCs w:val="32"/>
          <w:lang w:val="en-US" w:eastAsia="zh-CN"/>
        </w:rPr>
        <w:t>。</w:t>
      </w:r>
    </w:p>
    <w:p w14:paraId="3A0B29F0">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（二）资金管理情况分析。</w:t>
      </w:r>
    </w:p>
    <w:p w14:paraId="451C05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对于资金的分配、下达、拨付、使用严格按照转移支付管理制度以及资金管理办法规定的范围和标准分配资金，未出现截留、挤占、挪用或擅自调整等问题。</w:t>
      </w:r>
    </w:p>
    <w:p w14:paraId="68A527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（三）绩效目标完成情况分析。</w:t>
      </w:r>
    </w:p>
    <w:p w14:paraId="51D180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2025年度，</w:t>
      </w:r>
      <w:r>
        <w:rPr>
          <w:rFonts w:hint="eastAsia" w:ascii="Times New Roman" w:hAnsi="Times New Roman" w:eastAsia="仿宋_GB2312" w:cs="Times New Roman"/>
          <w:color w:val="auto"/>
          <w:kern w:val="0"/>
          <w:sz w:val="32"/>
          <w:szCs w:val="32"/>
          <w:lang w:val="en-US" w:eastAsia="zh-CN" w:bidi="ar"/>
        </w:rPr>
        <w:t>林坊镇综合文化站免费开放并正常运转</w:t>
      </w:r>
      <w:r>
        <w:rPr>
          <w:rFonts w:hint="eastAsia" w:ascii="仿宋" w:hAnsi="仿宋" w:eastAsia="仿宋" w:cs="仿宋"/>
          <w:sz w:val="32"/>
          <w:szCs w:val="32"/>
          <w:lang w:val="en-US" w:eastAsia="zh-CN"/>
        </w:rPr>
        <w:t>。</w:t>
      </w:r>
    </w:p>
    <w:p w14:paraId="49FFCD7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lang w:val="en-US" w:eastAsia="zh-CN"/>
        </w:rPr>
        <w:t>（四）绩效指标完成情况分析。</w:t>
      </w:r>
    </w:p>
    <w:p w14:paraId="57CF9E7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本次项目绩效指标设置产出指标、效益指标、满意度指标三大类，各三级绩效指标均圆满完成</w:t>
      </w:r>
      <w:r>
        <w:rPr>
          <w:rFonts w:hint="eastAsia" w:ascii="Times New Roman" w:hAnsi="Times New Roman" w:eastAsia="仿宋_GB2312" w:cs="Times New Roman"/>
          <w:color w:val="000000"/>
          <w:kern w:val="0"/>
          <w:sz w:val="32"/>
          <w:szCs w:val="32"/>
          <w:lang w:val="en-US" w:eastAsia="zh-CN" w:bidi="ar"/>
        </w:rPr>
        <w:t>。</w:t>
      </w:r>
    </w:p>
    <w:p w14:paraId="76D025C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firstLine="643" w:firstLineChars="200"/>
        <w:jc w:val="both"/>
        <w:textAlignment w:val="auto"/>
        <w:rPr>
          <w:rFonts w:hint="default" w:ascii="Times New Roman" w:hAnsi="Times New Roman" w:eastAsia="仿宋_GB2312" w:cs="Times New Roman"/>
          <w:color w:val="000000"/>
          <w:sz w:val="32"/>
          <w:szCs w:val="32"/>
        </w:rPr>
      </w:pPr>
      <w:r>
        <w:rPr>
          <w:rStyle w:val="5"/>
          <w:rFonts w:hint="eastAsia" w:ascii="Times New Roman" w:hAnsi="Times New Roman" w:eastAsia="仿宋_GB2312" w:cs="Times New Roman"/>
          <w:b/>
          <w:bCs/>
          <w:color w:val="000000"/>
          <w:sz w:val="32"/>
          <w:szCs w:val="32"/>
          <w:lang w:val="en-US" w:eastAsia="zh-CN"/>
        </w:rPr>
        <w:t>1.</w:t>
      </w:r>
      <w:r>
        <w:rPr>
          <w:rStyle w:val="5"/>
          <w:rFonts w:hint="default" w:ascii="Times New Roman" w:hAnsi="Times New Roman" w:eastAsia="仿宋_GB2312" w:cs="Times New Roman"/>
          <w:b/>
          <w:bCs/>
          <w:color w:val="000000"/>
          <w:sz w:val="32"/>
          <w:szCs w:val="32"/>
        </w:rPr>
        <w:t>产出指标</w:t>
      </w:r>
    </w:p>
    <w:p w14:paraId="74A94D8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firstLine="643" w:firstLineChars="200"/>
        <w:jc w:val="both"/>
        <w:textAlignment w:val="auto"/>
        <w:rPr>
          <w:rFonts w:hint="default" w:ascii="Times New Roman" w:hAnsi="Times New Roman" w:eastAsia="仿宋_GB2312" w:cs="Times New Roman"/>
          <w:color w:val="000000"/>
          <w:sz w:val="32"/>
          <w:szCs w:val="32"/>
        </w:rPr>
      </w:pPr>
      <w:r>
        <w:rPr>
          <w:rStyle w:val="5"/>
          <w:rFonts w:hint="eastAsia" w:ascii="Times New Roman" w:hAnsi="Times New Roman" w:eastAsia="仿宋_GB2312" w:cs="Times New Roman"/>
          <w:b/>
          <w:bCs/>
          <w:color w:val="000000"/>
          <w:sz w:val="32"/>
          <w:szCs w:val="32"/>
          <w:lang w:eastAsia="zh-CN"/>
        </w:rPr>
        <w:t>（</w:t>
      </w:r>
      <w:r>
        <w:rPr>
          <w:rStyle w:val="5"/>
          <w:rFonts w:hint="eastAsia" w:ascii="Times New Roman" w:hAnsi="Times New Roman" w:eastAsia="仿宋_GB2312" w:cs="Times New Roman"/>
          <w:b/>
          <w:bCs/>
          <w:color w:val="000000"/>
          <w:sz w:val="32"/>
          <w:szCs w:val="32"/>
          <w:lang w:val="en-US" w:eastAsia="zh-CN"/>
        </w:rPr>
        <w:t>1</w:t>
      </w:r>
      <w:r>
        <w:rPr>
          <w:rStyle w:val="5"/>
          <w:rFonts w:hint="eastAsia" w:ascii="Times New Roman" w:hAnsi="Times New Roman" w:eastAsia="仿宋_GB2312" w:cs="Times New Roman"/>
          <w:b/>
          <w:bCs/>
          <w:color w:val="000000"/>
          <w:sz w:val="32"/>
          <w:szCs w:val="32"/>
          <w:lang w:eastAsia="zh-CN"/>
        </w:rPr>
        <w:t>）</w:t>
      </w:r>
      <w:r>
        <w:rPr>
          <w:rStyle w:val="5"/>
          <w:rFonts w:hint="default" w:ascii="Times New Roman" w:hAnsi="Times New Roman" w:eastAsia="仿宋_GB2312" w:cs="Times New Roman"/>
          <w:b/>
          <w:bCs/>
          <w:color w:val="000000"/>
          <w:sz w:val="32"/>
          <w:szCs w:val="32"/>
        </w:rPr>
        <w:t>数量指标</w:t>
      </w:r>
      <w:r>
        <w:rPr>
          <w:rFonts w:hint="default" w:ascii="Times New Roman" w:hAnsi="Times New Roman" w:eastAsia="仿宋_GB2312" w:cs="Times New Roman"/>
          <w:color w:val="000000"/>
          <w:sz w:val="32"/>
          <w:szCs w:val="32"/>
        </w:rPr>
        <w:t>：文化馆（站）免费开放</w:t>
      </w:r>
      <w:r>
        <w:rPr>
          <w:rFonts w:hint="eastAsia"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个。</w:t>
      </w:r>
    </w:p>
    <w:p w14:paraId="27E79FD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firstLine="643" w:firstLineChars="200"/>
        <w:jc w:val="both"/>
        <w:textAlignment w:val="auto"/>
        <w:rPr>
          <w:rFonts w:hint="default" w:ascii="Times New Roman" w:hAnsi="Times New Roman" w:eastAsia="仿宋_GB2312" w:cs="Times New Roman"/>
          <w:color w:val="000000"/>
          <w:sz w:val="32"/>
          <w:szCs w:val="32"/>
        </w:rPr>
      </w:pPr>
      <w:r>
        <w:rPr>
          <w:rStyle w:val="5"/>
          <w:rFonts w:hint="eastAsia" w:ascii="Times New Roman" w:hAnsi="Times New Roman" w:eastAsia="仿宋_GB2312" w:cs="Times New Roman"/>
          <w:b/>
          <w:bCs/>
          <w:color w:val="000000"/>
          <w:sz w:val="32"/>
          <w:szCs w:val="32"/>
          <w:lang w:eastAsia="zh-CN"/>
        </w:rPr>
        <w:t>（</w:t>
      </w:r>
      <w:r>
        <w:rPr>
          <w:rStyle w:val="5"/>
          <w:rFonts w:hint="eastAsia" w:eastAsia="仿宋_GB2312" w:cs="Times New Roman"/>
          <w:b/>
          <w:bCs/>
          <w:color w:val="000000"/>
          <w:sz w:val="32"/>
          <w:szCs w:val="32"/>
          <w:lang w:val="en-US" w:eastAsia="zh-CN"/>
        </w:rPr>
        <w:t>2</w:t>
      </w:r>
      <w:r>
        <w:rPr>
          <w:rStyle w:val="5"/>
          <w:rFonts w:hint="eastAsia" w:ascii="Times New Roman" w:hAnsi="Times New Roman" w:eastAsia="仿宋_GB2312" w:cs="Times New Roman"/>
          <w:b/>
          <w:bCs/>
          <w:color w:val="000000"/>
          <w:sz w:val="32"/>
          <w:szCs w:val="32"/>
          <w:lang w:eastAsia="zh-CN"/>
        </w:rPr>
        <w:t>）</w:t>
      </w:r>
      <w:r>
        <w:rPr>
          <w:rStyle w:val="5"/>
          <w:rFonts w:hint="default" w:ascii="Times New Roman" w:hAnsi="Times New Roman" w:eastAsia="仿宋_GB2312" w:cs="Times New Roman"/>
          <w:b/>
          <w:bCs/>
          <w:color w:val="000000"/>
          <w:sz w:val="32"/>
          <w:szCs w:val="32"/>
        </w:rPr>
        <w:t>质量指标</w:t>
      </w:r>
      <w:r>
        <w:rPr>
          <w:rFonts w:hint="default"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lang w:eastAsia="zh-CN"/>
        </w:rPr>
        <w:t>全年陈列馆展览完成率</w:t>
      </w:r>
      <w:r>
        <w:rPr>
          <w:rFonts w:hint="eastAsia" w:ascii="Times New Roman" w:hAnsi="Times New Roman" w:eastAsia="仿宋_GB2312" w:cs="Times New Roman"/>
          <w:color w:val="000000"/>
          <w:sz w:val="32"/>
          <w:szCs w:val="32"/>
          <w:lang w:val="en-US" w:eastAsia="zh-CN"/>
        </w:rPr>
        <w:t>80%</w:t>
      </w:r>
      <w:r>
        <w:rPr>
          <w:rFonts w:hint="default" w:ascii="Times New Roman" w:hAnsi="Times New Roman" w:eastAsia="仿宋_GB2312" w:cs="Times New Roman"/>
          <w:color w:val="000000"/>
          <w:sz w:val="32"/>
          <w:szCs w:val="32"/>
        </w:rPr>
        <w:t>。</w:t>
      </w:r>
    </w:p>
    <w:p w14:paraId="280B76C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firstLine="643" w:firstLineChars="200"/>
        <w:jc w:val="both"/>
        <w:textAlignment w:val="auto"/>
        <w:rPr>
          <w:rFonts w:hint="default" w:ascii="Times New Roman" w:hAnsi="Times New Roman" w:eastAsia="仿宋_GB2312" w:cs="Times New Roman"/>
          <w:color w:val="000000"/>
          <w:sz w:val="32"/>
          <w:szCs w:val="32"/>
        </w:rPr>
      </w:pPr>
      <w:r>
        <w:rPr>
          <w:rStyle w:val="5"/>
          <w:rFonts w:hint="eastAsia" w:ascii="Times New Roman" w:hAnsi="Times New Roman" w:eastAsia="仿宋_GB2312" w:cs="Times New Roman"/>
          <w:b/>
          <w:bCs/>
          <w:color w:val="000000"/>
          <w:sz w:val="32"/>
          <w:szCs w:val="32"/>
          <w:lang w:eastAsia="zh-CN"/>
        </w:rPr>
        <w:t>（</w:t>
      </w:r>
      <w:r>
        <w:rPr>
          <w:rStyle w:val="5"/>
          <w:rFonts w:hint="eastAsia" w:eastAsia="仿宋_GB2312" w:cs="Times New Roman"/>
          <w:b/>
          <w:bCs/>
          <w:color w:val="000000"/>
          <w:sz w:val="32"/>
          <w:szCs w:val="32"/>
          <w:lang w:val="en-US" w:eastAsia="zh-CN"/>
        </w:rPr>
        <w:t>3</w:t>
      </w:r>
      <w:r>
        <w:rPr>
          <w:rStyle w:val="5"/>
          <w:rFonts w:hint="eastAsia" w:ascii="Times New Roman" w:hAnsi="Times New Roman" w:eastAsia="仿宋_GB2312" w:cs="Times New Roman"/>
          <w:b/>
          <w:bCs/>
          <w:color w:val="000000"/>
          <w:sz w:val="32"/>
          <w:szCs w:val="32"/>
          <w:lang w:eastAsia="zh-CN"/>
        </w:rPr>
        <w:t>）</w:t>
      </w:r>
      <w:r>
        <w:rPr>
          <w:rStyle w:val="5"/>
          <w:rFonts w:hint="default" w:ascii="Times New Roman" w:hAnsi="Times New Roman" w:eastAsia="仿宋_GB2312" w:cs="Times New Roman"/>
          <w:b/>
          <w:bCs/>
          <w:color w:val="000000"/>
          <w:sz w:val="32"/>
          <w:szCs w:val="32"/>
        </w:rPr>
        <w:t>时效指标</w:t>
      </w:r>
      <w:r>
        <w:rPr>
          <w:rFonts w:hint="default" w:ascii="Times New Roman" w:hAnsi="Times New Roman" w:eastAsia="仿宋_GB2312" w:cs="Times New Roman"/>
          <w:color w:val="000000"/>
          <w:sz w:val="32"/>
          <w:szCs w:val="32"/>
        </w:rPr>
        <w:t>：文化馆（站）免费开发完成时间</w:t>
      </w:r>
      <w:r>
        <w:rPr>
          <w:rFonts w:hint="eastAsia" w:ascii="Times New Roman" w:hAnsi="Times New Roman" w:eastAsia="仿宋_GB2312" w:cs="Times New Roman"/>
          <w:color w:val="000000"/>
          <w:sz w:val="32"/>
          <w:szCs w:val="32"/>
          <w:lang w:val="en-US" w:eastAsia="zh-CN"/>
        </w:rPr>
        <w:t>100%</w:t>
      </w:r>
      <w:r>
        <w:rPr>
          <w:rFonts w:hint="default" w:ascii="Times New Roman" w:hAnsi="Times New Roman" w:eastAsia="仿宋_GB2312" w:cs="Times New Roman"/>
          <w:color w:val="000000"/>
          <w:sz w:val="32"/>
          <w:szCs w:val="32"/>
        </w:rPr>
        <w:t>。</w:t>
      </w:r>
    </w:p>
    <w:p w14:paraId="67E5FF8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firstLine="643" w:firstLineChars="200"/>
        <w:jc w:val="both"/>
        <w:textAlignment w:val="auto"/>
        <w:rPr>
          <w:rFonts w:hint="default" w:ascii="Times New Roman" w:hAnsi="Times New Roman" w:eastAsia="仿宋_GB2312" w:cs="Times New Roman"/>
          <w:color w:val="000000"/>
          <w:sz w:val="32"/>
          <w:szCs w:val="32"/>
        </w:rPr>
      </w:pPr>
      <w:r>
        <w:rPr>
          <w:rStyle w:val="5"/>
          <w:rFonts w:hint="eastAsia" w:ascii="Times New Roman" w:hAnsi="Times New Roman" w:eastAsia="仿宋_GB2312" w:cs="Times New Roman"/>
          <w:b/>
          <w:bCs/>
          <w:color w:val="000000"/>
          <w:sz w:val="32"/>
          <w:szCs w:val="32"/>
          <w:lang w:eastAsia="zh-CN"/>
        </w:rPr>
        <w:t>（</w:t>
      </w:r>
      <w:r>
        <w:rPr>
          <w:rStyle w:val="5"/>
          <w:rFonts w:hint="eastAsia" w:eastAsia="仿宋_GB2312" w:cs="Times New Roman"/>
          <w:b/>
          <w:bCs/>
          <w:color w:val="000000"/>
          <w:sz w:val="32"/>
          <w:szCs w:val="32"/>
          <w:lang w:val="en-US" w:eastAsia="zh-CN"/>
        </w:rPr>
        <w:t>4</w:t>
      </w:r>
      <w:r>
        <w:rPr>
          <w:rStyle w:val="5"/>
          <w:rFonts w:hint="eastAsia" w:ascii="Times New Roman" w:hAnsi="Times New Roman" w:eastAsia="仿宋_GB2312" w:cs="Times New Roman"/>
          <w:b/>
          <w:bCs/>
          <w:color w:val="000000"/>
          <w:sz w:val="32"/>
          <w:szCs w:val="32"/>
          <w:lang w:eastAsia="zh-CN"/>
        </w:rPr>
        <w:t>）</w:t>
      </w:r>
      <w:r>
        <w:rPr>
          <w:rStyle w:val="5"/>
          <w:rFonts w:hint="default" w:ascii="Times New Roman" w:hAnsi="Times New Roman" w:eastAsia="仿宋_GB2312" w:cs="Times New Roman"/>
          <w:b/>
          <w:bCs/>
          <w:color w:val="000000"/>
          <w:sz w:val="32"/>
          <w:szCs w:val="32"/>
        </w:rPr>
        <w:t>成本指标</w:t>
      </w:r>
      <w:r>
        <w:rPr>
          <w:rFonts w:hint="default"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lang w:eastAsia="zh-CN"/>
        </w:rPr>
        <w:t>补助资金成本控制率</w:t>
      </w:r>
      <w:r>
        <w:rPr>
          <w:rFonts w:hint="eastAsia" w:ascii="Times New Roman" w:hAnsi="Times New Roman" w:eastAsia="仿宋_GB2312" w:cs="Times New Roman"/>
          <w:color w:val="000000"/>
          <w:sz w:val="32"/>
          <w:szCs w:val="32"/>
          <w:lang w:val="en-US" w:eastAsia="zh-CN"/>
        </w:rPr>
        <w:t>100%</w:t>
      </w:r>
      <w:r>
        <w:rPr>
          <w:rFonts w:hint="default" w:ascii="Times New Roman" w:hAnsi="Times New Roman" w:eastAsia="仿宋_GB2312" w:cs="Times New Roman"/>
          <w:color w:val="000000"/>
          <w:sz w:val="32"/>
          <w:szCs w:val="32"/>
        </w:rPr>
        <w:t>。</w:t>
      </w:r>
    </w:p>
    <w:p w14:paraId="0517FA9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firstLine="643" w:firstLineChars="200"/>
        <w:jc w:val="both"/>
        <w:textAlignment w:val="auto"/>
        <w:rPr>
          <w:rFonts w:hint="default" w:ascii="Times New Roman" w:hAnsi="Times New Roman" w:eastAsia="仿宋_GB2312" w:cs="Times New Roman"/>
          <w:color w:val="000000"/>
          <w:sz w:val="32"/>
          <w:szCs w:val="32"/>
        </w:rPr>
      </w:pPr>
      <w:r>
        <w:rPr>
          <w:rStyle w:val="5"/>
          <w:rFonts w:hint="eastAsia" w:ascii="Times New Roman" w:hAnsi="Times New Roman" w:eastAsia="仿宋_GB2312" w:cs="Times New Roman"/>
          <w:b/>
          <w:bCs/>
          <w:color w:val="000000"/>
          <w:sz w:val="32"/>
          <w:szCs w:val="32"/>
          <w:lang w:val="en-US" w:eastAsia="zh-CN"/>
        </w:rPr>
        <w:t>2.</w:t>
      </w:r>
      <w:r>
        <w:rPr>
          <w:rStyle w:val="5"/>
          <w:rFonts w:hint="default" w:ascii="Times New Roman" w:hAnsi="Times New Roman" w:eastAsia="仿宋_GB2312" w:cs="Times New Roman"/>
          <w:b/>
          <w:bCs/>
          <w:color w:val="000000"/>
          <w:sz w:val="32"/>
          <w:szCs w:val="32"/>
        </w:rPr>
        <w:t>效益指标</w:t>
      </w:r>
    </w:p>
    <w:p w14:paraId="0F9BDC0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firstLine="643" w:firstLineChars="200"/>
        <w:jc w:val="both"/>
        <w:textAlignment w:val="auto"/>
        <w:rPr>
          <w:rFonts w:hint="default" w:ascii="Times New Roman" w:hAnsi="Times New Roman" w:eastAsia="仿宋_GB2312" w:cs="Times New Roman"/>
          <w:color w:val="000000"/>
          <w:sz w:val="32"/>
          <w:szCs w:val="32"/>
        </w:rPr>
      </w:pPr>
      <w:r>
        <w:rPr>
          <w:rStyle w:val="5"/>
          <w:rFonts w:hint="eastAsia" w:ascii="Times New Roman" w:hAnsi="Times New Roman" w:eastAsia="仿宋_GB2312" w:cs="Times New Roman"/>
          <w:b/>
          <w:bCs/>
          <w:color w:val="000000"/>
          <w:sz w:val="32"/>
          <w:szCs w:val="32"/>
          <w:lang w:eastAsia="zh-CN"/>
        </w:rPr>
        <w:t>社会</w:t>
      </w:r>
      <w:r>
        <w:rPr>
          <w:rStyle w:val="5"/>
          <w:rFonts w:hint="default" w:ascii="Times New Roman" w:hAnsi="Times New Roman" w:eastAsia="仿宋_GB2312" w:cs="Times New Roman"/>
          <w:b/>
          <w:bCs/>
          <w:color w:val="000000"/>
          <w:sz w:val="32"/>
          <w:szCs w:val="32"/>
        </w:rPr>
        <w:t>效益指标</w:t>
      </w:r>
      <w:r>
        <w:rPr>
          <w:rFonts w:hint="default" w:ascii="Times New Roman" w:hAnsi="Times New Roman" w:eastAsia="仿宋_GB2312" w:cs="Times New Roman"/>
          <w:color w:val="000000"/>
          <w:sz w:val="32"/>
          <w:szCs w:val="32"/>
        </w:rPr>
        <w:t>：群众文化活动参加人次增长率</w:t>
      </w:r>
      <w:r>
        <w:rPr>
          <w:rFonts w:hint="eastAsia"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w:t>
      </w:r>
    </w:p>
    <w:p w14:paraId="0A807E1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firstLine="643" w:firstLineChars="200"/>
        <w:jc w:val="both"/>
        <w:textAlignment w:val="auto"/>
        <w:rPr>
          <w:rFonts w:hint="default" w:ascii="Times New Roman" w:hAnsi="Times New Roman" w:eastAsia="仿宋_GB2312" w:cs="Times New Roman"/>
          <w:color w:val="000000"/>
          <w:sz w:val="32"/>
          <w:szCs w:val="32"/>
        </w:rPr>
      </w:pPr>
      <w:r>
        <w:rPr>
          <w:rStyle w:val="5"/>
          <w:rFonts w:hint="eastAsia" w:ascii="Times New Roman" w:hAnsi="Times New Roman" w:eastAsia="仿宋_GB2312" w:cs="Times New Roman"/>
          <w:b/>
          <w:bCs/>
          <w:color w:val="000000"/>
          <w:sz w:val="32"/>
          <w:szCs w:val="32"/>
          <w:lang w:val="en-US" w:eastAsia="zh-CN"/>
        </w:rPr>
        <w:t>3.</w:t>
      </w:r>
      <w:r>
        <w:rPr>
          <w:rStyle w:val="5"/>
          <w:rFonts w:hint="default" w:ascii="Times New Roman" w:hAnsi="Times New Roman" w:eastAsia="仿宋_GB2312" w:cs="Times New Roman"/>
          <w:b/>
          <w:bCs/>
          <w:color w:val="000000"/>
          <w:sz w:val="32"/>
          <w:szCs w:val="32"/>
        </w:rPr>
        <w:t>满意度指标</w:t>
      </w:r>
    </w:p>
    <w:p w14:paraId="09C8632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rightChars="0" w:firstLine="643" w:firstLineChars="200"/>
        <w:jc w:val="both"/>
        <w:textAlignment w:val="auto"/>
        <w:rPr>
          <w:rFonts w:hint="default" w:ascii="Times New Roman" w:hAnsi="Times New Roman" w:eastAsia="仿宋_GB2312" w:cs="Times New Roman"/>
          <w:color w:val="000000"/>
          <w:sz w:val="32"/>
          <w:szCs w:val="32"/>
        </w:rPr>
      </w:pPr>
      <w:r>
        <w:rPr>
          <w:rStyle w:val="5"/>
          <w:rFonts w:hint="default" w:ascii="Times New Roman" w:hAnsi="Times New Roman" w:eastAsia="仿宋_GB2312" w:cs="Times New Roman"/>
          <w:b/>
          <w:bCs/>
          <w:color w:val="000000"/>
          <w:sz w:val="32"/>
          <w:szCs w:val="32"/>
        </w:rPr>
        <w:t>服务对象满意度指标</w:t>
      </w:r>
      <w:r>
        <w:rPr>
          <w:rFonts w:hint="default" w:ascii="Times New Roman" w:hAnsi="Times New Roman" w:eastAsia="仿宋_GB2312" w:cs="Times New Roman"/>
          <w:color w:val="000000"/>
          <w:sz w:val="32"/>
          <w:szCs w:val="32"/>
        </w:rPr>
        <w:t>：服务对象满意指标值为</w:t>
      </w:r>
      <w:r>
        <w:rPr>
          <w:rFonts w:hint="eastAsia" w:ascii="Times New Roman" w:hAnsi="Times New Roman" w:eastAsia="仿宋_GB2312" w:cs="Times New Roman"/>
          <w:color w:val="000000"/>
          <w:sz w:val="32"/>
          <w:szCs w:val="32"/>
          <w:lang w:val="en-US" w:eastAsia="zh-CN"/>
        </w:rPr>
        <w:t>90</w:t>
      </w:r>
      <w:r>
        <w:rPr>
          <w:rFonts w:hint="default" w:ascii="Times New Roman" w:hAnsi="Times New Roman" w:eastAsia="仿宋_GB2312" w:cs="Times New Roman"/>
          <w:color w:val="000000"/>
          <w:kern w:val="0"/>
          <w:sz w:val="32"/>
          <w:szCs w:val="32"/>
          <w:lang w:val="en-US" w:eastAsia="zh-CN" w:bidi="ar"/>
        </w:rPr>
        <w:t>%</w:t>
      </w:r>
      <w:r>
        <w:rPr>
          <w:rFonts w:hint="eastAsia" w:ascii="Times New Roman" w:hAnsi="Times New Roman" w:eastAsia="仿宋_GB2312" w:cs="Times New Roman"/>
          <w:color w:val="000000"/>
          <w:kern w:val="0"/>
          <w:sz w:val="32"/>
          <w:szCs w:val="32"/>
          <w:lang w:val="en-US" w:eastAsia="zh-CN" w:bidi="ar"/>
        </w:rPr>
        <w:t>。</w:t>
      </w:r>
    </w:p>
    <w:p w14:paraId="39E7EE7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三、偏离绩效目标的原因和下一步改进措施</w:t>
      </w:r>
    </w:p>
    <w:p w14:paraId="300C455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default" w:ascii="Times New Roman" w:hAnsi="Times New Roman" w:eastAsia="仿宋_GB2312" w:cs="Times New Roman"/>
          <w:color w:val="000000"/>
          <w:kern w:val="0"/>
          <w:sz w:val="32"/>
          <w:szCs w:val="32"/>
          <w:lang w:val="en-US" w:eastAsia="zh-CN" w:bidi="ar"/>
        </w:rPr>
        <w:t>项目绩效指标均完成，无其他偏离绩效目标的情况，项目资金管理、项目实施流程均合规有序，未发现其他问题</w:t>
      </w:r>
      <w:r>
        <w:rPr>
          <w:rFonts w:hint="eastAsia" w:ascii="仿宋" w:hAnsi="仿宋" w:eastAsia="仿宋" w:cs="仿宋"/>
          <w:sz w:val="32"/>
          <w:szCs w:val="32"/>
          <w:lang w:val="en-US" w:eastAsia="zh-CN"/>
        </w:rPr>
        <w:t>。</w:t>
      </w:r>
    </w:p>
    <w:p w14:paraId="0DA2CBE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绩效自评结果拟应用和公开情况</w:t>
      </w:r>
    </w:p>
    <w:p w14:paraId="7ECBFE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无</w:t>
      </w:r>
    </w:p>
    <w:p w14:paraId="440EC2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五、其他需要说明的问题</w:t>
      </w:r>
    </w:p>
    <w:p w14:paraId="3A7D65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无。</w:t>
      </w:r>
    </w:p>
    <w:p w14:paraId="565672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六、附件</w:t>
      </w:r>
    </w:p>
    <w:p w14:paraId="2461E9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kern w:val="0"/>
          <w:sz w:val="32"/>
          <w:szCs w:val="32"/>
          <w:lang w:val="en-US" w:eastAsia="zh-CN" w:bidi="ar"/>
        </w:rPr>
        <w:t>林坊镇</w:t>
      </w:r>
      <w:r>
        <w:rPr>
          <w:rFonts w:hint="default" w:ascii="Times New Roman" w:hAnsi="Times New Roman" w:eastAsia="仿宋_GB2312" w:cs="Times New Roman"/>
          <w:color w:val="000000"/>
          <w:kern w:val="0"/>
          <w:sz w:val="32"/>
          <w:szCs w:val="32"/>
          <w:lang w:val="en-US" w:eastAsia="zh-CN" w:bidi="ar"/>
        </w:rPr>
        <w:t>2025年度转移支付区域（文化站免费开放项目）绩效自评表</w:t>
      </w:r>
    </w:p>
    <w:p w14:paraId="32F4A3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14:paraId="0B2DEB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14:paraId="3949311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14:paraId="1104DA4A">
      <w:pPr>
        <w:keepNext w:val="0"/>
        <w:keepLines w:val="0"/>
        <w:pageBreakBefore w:val="0"/>
        <w:widowControl w:val="0"/>
        <w:kinsoku/>
        <w:wordWrap/>
        <w:overflowPunct/>
        <w:topLinePunct w:val="0"/>
        <w:autoSpaceDE/>
        <w:autoSpaceDN/>
        <w:bidi w:val="0"/>
        <w:adjustRightInd/>
        <w:snapToGrid/>
        <w:spacing w:line="560" w:lineRule="exact"/>
        <w:ind w:firstLine="4480" w:firstLineChars="14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连城县林坊镇人民政府</w:t>
      </w:r>
    </w:p>
    <w:p w14:paraId="3C1051B9">
      <w:pPr>
        <w:jc w:val="right"/>
        <w:rPr>
          <w:rFonts w:hint="eastAsia"/>
          <w:i w:val="0"/>
          <w:iCs w:val="0"/>
          <w:caps w:val="0"/>
          <w:color w:val="000000"/>
          <w:spacing w:val="0"/>
          <w:sz w:val="21"/>
          <w:szCs w:val="21"/>
          <w:shd w:val="clear" w:fill="FFFFFF"/>
          <w:lang w:val="en-US" w:eastAsia="zh-CN"/>
        </w:rPr>
      </w:pPr>
      <w:r>
        <w:rPr>
          <w:rFonts w:hint="eastAsia" w:ascii="仿宋" w:hAnsi="仿宋" w:eastAsia="仿宋" w:cs="仿宋"/>
          <w:sz w:val="32"/>
          <w:szCs w:val="32"/>
          <w:lang w:val="en-US" w:eastAsia="zh-CN"/>
        </w:rPr>
        <w:t>2026年3月17日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FF2C20"/>
    <w:multiLevelType w:val="singleLevel"/>
    <w:tmpl w:val="6BFF2C20"/>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95E0C3E"/>
    <w:rsid w:val="462B3197"/>
    <w:rsid w:val="621163EF"/>
    <w:rsid w:val="63295200"/>
    <w:rsid w:val="64F37E85"/>
    <w:rsid w:val="75243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5">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697</Words>
  <Characters>726</Characters>
  <Lines>0</Lines>
  <Paragraphs>0</Paragraphs>
  <TotalTime>2</TotalTime>
  <ScaleCrop>false</ScaleCrop>
  <LinksUpToDate>false</LinksUpToDate>
  <CharactersWithSpaces>726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任由</cp:lastModifiedBy>
  <cp:lastPrinted>2026-03-18T01:40:56Z</cp:lastPrinted>
  <dcterms:modified xsi:type="dcterms:W3CDTF">2026-03-18T01:41:37Z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eyJoZGlkIjoiNTdlNTdiZWJkNjNjZmViODYwZjk4Nzk5ZWIzOTJmNTAiLCJ1c2VySWQiOiI3NTM3NTkzNTkifQ==</vt:lpwstr>
  </property>
  <property fmtid="{D5CDD505-2E9C-101B-9397-08002B2CF9AE}" pid="4" name="ICV">
    <vt:lpwstr>BEC0667368744A1B9297537804C4FA57_13</vt:lpwstr>
  </property>
</Properties>
</file>