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12EE5">
      <w:pPr>
        <w:rPr>
          <w:rFonts w:hint="default" w:ascii="仿宋" w:hAnsi="仿宋" w:eastAsia="仿宋"/>
          <w:sz w:val="28"/>
          <w:szCs w:val="32"/>
        </w:rPr>
      </w:pPr>
    </w:p>
    <w:p w14:paraId="24060BA4">
      <w:pPr>
        <w:rPr>
          <w:rFonts w:hint="default" w:ascii="仿宋" w:hAnsi="仿宋" w:eastAsia="仿宋"/>
          <w:sz w:val="32"/>
          <w:szCs w:val="32"/>
        </w:rPr>
      </w:pPr>
    </w:p>
    <w:p w14:paraId="1D410DE4">
      <w:pPr>
        <w:ind w:firstLine="420"/>
        <w:jc w:val="center"/>
        <w:rPr>
          <w:rFonts w:hint="default"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  <w:lang w:val="en-US" w:eastAsia="zh-CN"/>
        </w:rPr>
        <w:t>部门整体</w:t>
      </w:r>
      <w:r>
        <w:rPr>
          <w:rFonts w:hint="eastAsia" w:ascii="宋体" w:hAnsi="宋体" w:cs="仿宋"/>
          <w:b/>
          <w:sz w:val="44"/>
          <w:szCs w:val="44"/>
        </w:rPr>
        <w:t>绩效自评报告</w:t>
      </w:r>
    </w:p>
    <w:p w14:paraId="7CBE3F96">
      <w:pPr>
        <w:ind w:firstLine="640" w:firstLineChars="200"/>
        <w:rPr>
          <w:rFonts w:hint="default" w:ascii="仿宋" w:hAnsi="仿宋" w:eastAsia="仿宋"/>
          <w:sz w:val="32"/>
          <w:szCs w:val="32"/>
        </w:rPr>
      </w:pPr>
    </w:p>
    <w:p w14:paraId="3A23DC3F">
      <w:pPr>
        <w:ind w:firstLine="640" w:firstLineChars="200"/>
        <w:jc w:val="left"/>
        <w:rPr>
          <w:rFonts w:hint="default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为提高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102部门整体</w:t>
      </w:r>
      <w:r>
        <w:rPr>
          <w:rFonts w:ascii="仿宋" w:hAnsi="仿宋" w:eastAsia="仿宋" w:cs="仿宋"/>
          <w:sz w:val="32"/>
        </w:rPr>
        <w:t>部门整体</w:t>
      </w:r>
      <w:r>
        <w:rPr>
          <w:rFonts w:hint="eastAsia" w:ascii="仿宋" w:hAnsi="仿宋" w:eastAsia="仿宋" w:cs="仿宋"/>
          <w:sz w:val="32"/>
          <w:szCs w:val="32"/>
        </w:rPr>
        <w:t>使用绩效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连城县人民代表大会常务委员会办公室</w:t>
      </w:r>
      <w:r>
        <w:rPr>
          <w:rFonts w:hint="eastAsia" w:ascii="仿宋" w:hAnsi="仿宋" w:eastAsia="仿宋"/>
          <w:sz w:val="32"/>
          <w:szCs w:val="32"/>
        </w:rPr>
        <w:t>组织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102部门整体</w:t>
      </w:r>
      <w:r>
        <w:rPr>
          <w:rFonts w:hint="eastAsia" w:ascii="仿宋" w:hAnsi="仿宋" w:eastAsia="仿宋"/>
          <w:sz w:val="32"/>
          <w:szCs w:val="32"/>
        </w:rPr>
        <w:t>开展绩效评价。</w:t>
      </w:r>
    </w:p>
    <w:p w14:paraId="7BCBAF24">
      <w:pPr>
        <w:ind w:firstLine="627" w:firstLineChars="196"/>
        <w:rPr>
          <w:rFonts w:hint="default"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BC0495C">
      <w:pPr>
        <w:ind w:firstLine="643" w:firstLineChars="200"/>
        <w:rPr>
          <w:rFonts w:hint="default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（一）专项基本情况</w:t>
      </w:r>
    </w:p>
    <w:p w14:paraId="4D5707BA">
      <w:pPr>
        <w:ind w:firstLine="1472" w:firstLineChars="460"/>
        <w:rPr>
          <w:rFonts w:hint="default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根据连城县人大常委会2025年监督工作计划安排，（一）已听取和审议县人大常委会和“一府两院”9项专项工作报告；（二）已听取和审议计划、预算、决算和审计工作报告，审查批准决算等7项工作报告；（三）已开展专题询问及工作评议、专题调研、满意度测评等工作；已组织召开县级人大会议、一府两院联席会议、县人大常委会会议、主任会议及开展代表联系活动月、加强备案审查等工作。新的一年，县人大常委会总体目标任务是：坚持以习近平新时代中国特色社会主义思想为指导，全面贯彻落实党的二十大和二十届二中、三中全会精神，深入学习贯彻习近平总书记在福建考察时重要讲话精神，坚决拥护“两个确立”、坚决做到坚决做到“两个维护”，坚持党的领导、人民当家作主、依法治国有机统一，坚持稳中求进工作总基调，完整、争取、全面贯彻新发展理念，紧扣县委“135”工作思路，紧贴高质量发展主题主线，全面履行宪法法律赋予的各项职责，守正创新、实干争先，以高效能实施监督、高水平做好代表工作、高标准建设“四个机关”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的新成效，为全力以赴加快推动连城革命老区高质量发展，奋力谱写中国式现代化连城新篇章作出新的。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/>
          <w:sz w:val="32"/>
          <w:szCs w:val="32"/>
          <w:lang w:val="en-US" w:eastAsia="zh-CN"/>
        </w:rPr>
        <w:cr/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66F7553E">
      <w:pPr>
        <w:ind w:firstLine="643" w:firstLineChars="200"/>
        <w:rPr>
          <w:rFonts w:hint="default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218B1D2">
      <w:pPr>
        <w:ind w:firstLine="1472" w:firstLineChars="460"/>
        <w:rPr>
          <w:rFonts w:hint="default" w:ascii="仿宋" w:hAnsi="仿宋" w:eastAsia="仿宋"/>
          <w:sz w:val="32"/>
          <w:szCs w:val="32"/>
        </w:rPr>
      </w:pPr>
    </w:p>
    <w:p w14:paraId="1D5DD411">
      <w:pPr>
        <w:ind w:firstLine="627" w:firstLineChars="196"/>
        <w:rPr>
          <w:rFonts w:hint="default"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0BF83F2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95分，等级为优，设置绩效目标49个，实际完成48个，具体情况如下：</w:t>
      </w:r>
    </w:p>
    <w:p w14:paraId="392DC108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一般性支出情况</w:t>
      </w:r>
    </w:p>
    <w:p w14:paraId="46D3640D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1、一般性支出情况</w:t>
      </w:r>
    </w:p>
    <w:p w14:paraId="0995F5A6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1)“三公”经费控制率</w:t>
      </w:r>
      <w:r>
        <w:rPr>
          <w:rFonts w:ascii="仿宋" w:hAnsi="仿宋" w:eastAsia="仿宋" w:cs="仿宋"/>
          <w:sz w:val="32"/>
        </w:rPr>
        <w:t>(%)，目标值100，完成值100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C84B903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2)“三公”经费违规使用次数</w:t>
      </w:r>
      <w:r>
        <w:rPr>
          <w:rFonts w:ascii="仿宋" w:hAnsi="仿宋" w:eastAsia="仿宋" w:cs="仿宋"/>
          <w:sz w:val="32"/>
        </w:rPr>
        <w:t>(次)，目标值0，完成值0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CBAF5D9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3)会议费、差旅费超标准使用次数</w:t>
      </w:r>
      <w:r>
        <w:rPr>
          <w:rFonts w:ascii="仿宋" w:hAnsi="仿宋" w:eastAsia="仿宋" w:cs="仿宋"/>
          <w:sz w:val="32"/>
        </w:rPr>
        <w:t>(次)，目标值0，完成值0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4E35094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成本指标</w:t>
      </w:r>
    </w:p>
    <w:p w14:paraId="18C09ED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C8C7FD4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1)开展执法检查、工作评议等经费投入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(万元)，目标值202.3，完成值202.3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54FDA63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2)开展调研、视察对工作经费投入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(万元)，目标值162.23，完成值162.23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5D0A0F0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3)"监督“一府两院”工作经费投入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(万元)，目标值156，完成值156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1DAE44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4)组织召开人大会议及代表履职工作</w:t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(万元)，目标值79.26，完成值79.26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82481E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2C000DF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AD752AF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产出指标</w:t>
      </w:r>
    </w:p>
    <w:p w14:paraId="5115EF17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694FB13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1)主任会、常委会次数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(次)，目标值18，完成值18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31CDD46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2)召开县人民代表大会次数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(次)，目标值1，完成值1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54A885D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3)开展县乡代表述职活动人数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(人)，目标值50，完成值50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4E1B9DC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4)开展执法检查及跟踪落实情况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(次)，目标值25，完成值25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79115E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5)参加省、市人代会议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(次)，目标值2，完成值2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9375F1A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6)召开“一府两院”联席会次数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(次)，目标值1，完成值1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045628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7)预算完成率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EB09AE0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8)“三公经费”控制率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77065A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9)“三公经费”变动率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997AA86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10)在职人员控制率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51A4E2F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11)保障议政工作乡镇数保障议政工作乡镇数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(个)，目标值17，完成值17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8AEA61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12)保障代表活动次数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(次)，目标值14，完成值14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B3BCD78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79802C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1)争取项目资金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456F1B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2)全面深化改革工作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DE2B3F3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3)法治宣传教育工作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5B90FCF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4)依法行政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8E5B5CC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5)财政资金绩效管理工作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F00FC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6)文明创建工作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B9D434C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7)双拥工作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6EA0C4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8)精准脱贫成效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7D47B0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9)保密工作落实情况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4A068A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10)县政协相关工作落实情况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2CBF8D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11)县人大相关工作落实情况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55C3D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12)电子政务工作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EB744D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13)财政资金到位率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3A7FCA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14)资金使用率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02A1969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15)固定资产利用率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EAC4B7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16)省、市、县政府领导批示件及县政府相关会议定事项办理成效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D3A32CD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17)省、市、县委领导批示及县委相关会议定事项办理成效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7AD39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18)市对县绩效指标完成成效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D1B088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19)招商引资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E19EFBE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E5D3923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1)清理拖欠民营企业中小企业账款工作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E0DF01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2)支出进度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27479C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t>资金到位率</w:t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AE51F4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4)紧急信息按时报告率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1，得分1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97BE5A8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效益指标</w:t>
      </w:r>
    </w:p>
    <w:p w14:paraId="430A494E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FFE6F7B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CD0CC35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1)党建工作成效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8，得分8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433048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2)意识形态工作任务成效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6，得分6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98DF1C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3)网络舆情应对与处置成效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4，得分4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628CF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4)“平安单位”创建合作成效</w:t>
      </w:r>
      <w:r>
        <w:rPr>
          <w:rFonts w:ascii="仿宋_GB2312" w:hAnsi="仿宋_GB2312" w:eastAsia="仿宋_GB2312" w:cs="仿宋_GB2312"/>
          <w:sz w:val="32"/>
        </w:rPr>
        <w:tab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5，得分5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D04B8A1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5)代表建议办结率</w:t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(百分比)，目标值100，完成值90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5，得分0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003A0A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C7743D2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1)生态效益指标</w:t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(百分比)，目标值100，完成值100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2，得分2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61CE1AE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(五) 满意度指标</w:t>
      </w:r>
    </w:p>
    <w:p w14:paraId="6362FA09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F71EBC0">
      <w:pPr>
        <w:spacing w:line="620" w:lineRule="exact"/>
        <w:ind w:left="42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1)服务对象满意度指标</w:t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_GB2312" w:hAnsi="仿宋_GB2312" w:eastAsia="仿宋_GB2312" w:cs="仿宋_GB2312"/>
          <w:sz w:val="32"/>
        </w:rPr>
        <w:cr/>
      </w:r>
      <w:r>
        <w:rPr>
          <w:rFonts w:ascii="仿宋" w:hAnsi="仿宋" w:eastAsia="仿宋" w:cs="仿宋"/>
          <w:sz w:val="32"/>
        </w:rPr>
        <w:t>(百分比)，目标值98，完成值98</w:t>
      </w:r>
      <w:r>
        <w:rPr>
          <w:rFonts w:hint="eastAsia" w:ascii="仿宋" w:hAnsi="仿宋" w:eastAsia="仿宋"/>
          <w:sz w:val="32"/>
          <w:szCs w:val="32"/>
        </w:rPr>
        <w:t>，分值</w:t>
      </w:r>
      <w:r>
        <w:rPr>
          <w:rFonts w:ascii="仿宋" w:hAnsi="仿宋" w:eastAsia="仿宋" w:cs="仿宋"/>
          <w:sz w:val="32"/>
        </w:rPr>
        <w:t>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E43F2CA">
      <w:pPr>
        <w:tabs>
          <w:tab w:val="left" w:pos="2244"/>
        </w:tabs>
        <w:spacing w:line="620" w:lineRule="exact"/>
        <w:ind w:left="1890" w:leftChars="900"/>
        <w:rPr>
          <w:rFonts w:hint="default" w:ascii="仿宋" w:hAnsi="仿宋" w:eastAsia="仿宋"/>
          <w:b/>
          <w:color w:val="FF0000"/>
          <w:sz w:val="32"/>
          <w:szCs w:val="32"/>
        </w:rPr>
      </w:pPr>
    </w:p>
    <w:p w14:paraId="2B28EBE6">
      <w:pPr>
        <w:ind w:firstLine="627" w:firstLineChars="196"/>
        <w:rPr>
          <w:rFonts w:hint="default"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D22C35C">
      <w:pPr>
        <w:ind w:firstLine="630" w:firstLineChars="196"/>
        <w:rPr>
          <w:rFonts w:hint="default"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81CE399">
      <w:pPr>
        <w:ind w:firstLine="630" w:firstLineChars="196"/>
        <w:rPr>
          <w:rFonts w:hint="default"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FD6F881">
      <w:pPr>
        <w:ind w:left="840" w:leftChars="0" w:firstLine="420" w:firstLineChars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3B0C3">
    <w:pPr>
      <w:pStyle w:val="2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B5DD3BE">
    <w:pPr>
      <w:pStyle w:val="2"/>
      <w:tabs>
        <w:tab w:val="center" w:pos="4153"/>
        <w:tab w:val="right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ZmNTY2MGQ0ZjI4ZDRiZGFiYjkzMjdjYzY5NzZjOTgifQ=="/>
  </w:docVars>
  <w:rsids>
    <w:rsidRoot w:val="71776F75"/>
    <w:rsid w:val="07FB4740"/>
    <w:rsid w:val="35F966DB"/>
    <w:rsid w:val="3B4F6509"/>
    <w:rsid w:val="3F2353DD"/>
    <w:rsid w:val="412D21C1"/>
    <w:rsid w:val="43790164"/>
    <w:rsid w:val="469952ED"/>
    <w:rsid w:val="4C4238F7"/>
    <w:rsid w:val="58C90448"/>
    <w:rsid w:val="60E96F41"/>
    <w:rsid w:val="71776F75"/>
    <w:rsid w:val="77715E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2440</Words>
  <Characters>2699</Characters>
  <Lines>0</Lines>
  <Paragraphs>0</Paragraphs>
  <TotalTime>0</TotalTime>
  <ScaleCrop>false</ScaleCrop>
  <LinksUpToDate>false</LinksUpToDate>
  <CharactersWithSpaces>2758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2022-03-03T08:53:00Z</dcterms:created>
  <dc:creator>86176</dc:creator>
  <cp:lastModifiedBy>赖炜鑫</cp:lastModifiedBy>
  <dcterms:modified xsi:type="dcterms:W3CDTF">2026-03-24T09:08:45Z</dcterms:modified>
  <dc:title>部门整体绩效自评报告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D14FDDD7BC7D46C7A05C7CAAD5D36872</vt:lpwstr>
  </property>
  <property fmtid="{D5CDD505-2E9C-101B-9397-08002B2CF9AE}" pid="4" name="KSOTemplateDocerSaveRecord">
    <vt:lpwstr>eyJoZGlkIjoiMjNlZTM5M2M3NTMyMDRiYjgwMzUzYjk3ZGYwMjFlMjQiLCJ1c2VySWQiOiI0NjAxOTM5MTQifQ==</vt:lpwstr>
  </property>
</Properties>
</file>