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ascii="方正小标宋简体" w:hAnsi="宋体" w:eastAsia="方正小标宋简体" w:cs="方正小标宋简体"/>
          <w:sz w:val="44"/>
          <w:szCs w:val="44"/>
        </w:rPr>
        <w:t>2018年</w:t>
      </w:r>
      <w:r>
        <w:rPr>
          <w:rFonts w:hint="eastAsia" w:ascii="方正小标宋简体" w:hAnsi="宋体" w:eastAsia="方正小标宋简体" w:cs="方正小标宋简体"/>
          <w:sz w:val="44"/>
          <w:szCs w:val="44"/>
        </w:rPr>
        <w:t>度连城县政府决算相关重要事项说明</w:t>
      </w:r>
    </w:p>
    <w:p>
      <w:pPr>
        <w:jc w:val="center"/>
        <w:rPr>
          <w:rFonts w:ascii="宋体" w:cs="Times New Roman"/>
          <w:b/>
          <w:bCs/>
          <w:sz w:val="36"/>
          <w:szCs w:val="36"/>
        </w:rPr>
      </w:pPr>
    </w:p>
    <w:p>
      <w:pPr>
        <w:spacing w:line="600" w:lineRule="exact"/>
        <w:ind w:firstLine="64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一、全县支出决算说明</w:t>
      </w:r>
      <w:r>
        <w:rPr>
          <w:rFonts w:ascii="黑体" w:hAnsi="Times New Roman" w:eastAsia="黑体" w:cs="Times New Roman"/>
          <w:sz w:val="32"/>
          <w:szCs w:val="32"/>
        </w:rPr>
        <w:tab/>
      </w:r>
    </w:p>
    <w:p>
      <w:pPr>
        <w:spacing w:line="600" w:lineRule="exact"/>
        <w:ind w:firstLine="624" w:firstLineChars="20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2018年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度连城县全县一般公共预算支出决算数为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259632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920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0.36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。具体情况如下：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color w:val="FF0000"/>
          <w:spacing w:val="-4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（一）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一般公共服务支出科目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23767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4298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22.08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人大事务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万元，较上年决算数增加218万元，增长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45.51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政协事务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598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26.43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政府办公厅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室</w:t>
      </w:r>
      <w:r>
        <w:rPr>
          <w:rFonts w:ascii="Times New Roman" w:hAnsi="Times New Roman" w:eastAsia="仿宋_GB2312" w:cs="Times New Roman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及相关机构事务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10651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2740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34.64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发展与改革事务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万元，较上年决算数增加50万元，增长4.66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统计信息事务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537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万元，较上年决算数增加174万元，增长47.93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，主要原因是人员经费增加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08" w:firstLineChars="200"/>
        <w:rPr>
          <w:rFonts w:ascii="Times New Roman" w:hAnsi="Times New Roman" w:eastAsia="仿宋_GB2312" w:cs="Times New Roman"/>
          <w:spacing w:val="-8"/>
          <w:sz w:val="32"/>
          <w:szCs w:val="32"/>
        </w:rPr>
      </w:pPr>
      <w:r>
        <w:rPr>
          <w:rFonts w:ascii="Times New Roman" w:hAnsi="Times New Roman" w:eastAsia="仿宋_GB2312" w:cs="Times New Roman"/>
          <w:spacing w:val="-8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财政事务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1358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422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45.09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，主要是专项业务经费及人员经费增加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。</w:t>
      </w:r>
    </w:p>
    <w:p>
      <w:pPr>
        <w:spacing w:line="600" w:lineRule="exact"/>
        <w:ind w:firstLine="616" w:firstLineChars="200"/>
        <w:rPr>
          <w:rFonts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税收事务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>125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>38.34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8.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审计事务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36.88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审计工作经费增加及人员经费增加。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9.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人力资源事务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87.96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纪检监察事务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927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18.09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巡查专项经费增加及人员经费增加。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商贸事务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万元，较上年决算数增加602万元，增长103.97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工商行政管理事务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1542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7.61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质量技术监督与检验检疫事务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万元，较上年决算数增加4万元，增长66.67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民族事务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宗教事务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万元，较上年决算数增加10万元。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港澳台侨事务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万元，较上年决算数增加42万元，增长36.84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档案事务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万元，较上年决算数减少549万元，下降80.62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2017年有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档案馆新馆建设资金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570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万元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民主党派及工商联事务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万元，较上年决算数减少3万元。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19.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群众团体事务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451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25.21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党委办公厅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室</w:t>
      </w:r>
      <w:r>
        <w:rPr>
          <w:rFonts w:ascii="Times New Roman" w:hAnsi="Times New Roman" w:eastAsia="仿宋_GB2312" w:cs="Times New Roman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及相关机构事务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1334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万元，较上年决算数增加558万元，增长71.91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，主要原因是增加了办公经费及人员经费等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组织事务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489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5.84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宣传事务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万元，较上年决算数增加40万元，增长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11.83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，主要是增加了各专项经费及人员经费增加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统战事务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31.51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24.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其他共产党事务支出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1284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万元，较上年决算数减少188万元，下降12.77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其他一般公共服务支出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23.81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479" w:firstLineChars="149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国防支出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万元，较上年决算数增加41万元，增长21.47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国防动员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232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万元，较上年决算数增加41万元，增长21.47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公共安全支出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9520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万元，较上年决算数增加2170万元，增长29.52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业务经费增加等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武装警察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万元，较上年决算数增加100万元。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公安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8182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万元，较上年决算数增加2054万元，增长33.52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，主要原因是办案经费增加及业务经费、人员经费等增加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国家安全134万元，较上年决算数增加134万元。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检察、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法院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万元，主要原因是上划省管。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司法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11.08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482" w:firstLineChars="15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（四）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64960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万元，较上年决算数增加8791万元，增长15.65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工资、五险一金等人员性支出增加；中小学、幼儿园改善办学条件及城区补短板项目建设资金增加。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万元，较上年决算数减少27万元，下降3.14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普通教育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58362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万元，较上年决算数增加11279万元，增长23.96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工资、五险一金等人员性支出增加；中小学、幼儿园改善办学条件及城区补短板项目建设资金增加。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职业教育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1088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10.91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特殊教育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386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82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万元，增长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26.97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，主要原因是上级补助特教学校“两免一补”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资金及特殊教育补助资金。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进修及培训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1238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335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37.10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党校异地新建上级补助资金。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教育费附加安排的支出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万元，较上年决算数减少515万元，下降28.20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上级补助资金科目调整及补助项目、金额减少。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其他教育支出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1743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万元，较上年决算数减少2470万元，下降58.63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科目调整及上级补助项目、金额减少。</w:t>
      </w:r>
    </w:p>
    <w:p>
      <w:pPr>
        <w:spacing w:line="600" w:lineRule="exact"/>
        <w:ind w:firstLine="482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（五）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科学技术支出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4282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万元，较上年决算数增加1080万元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，增长33.73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科学技术管理事务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444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15.63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工资、五险一金等人员性支出增加。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应用研究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技术研究与开发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3417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万元，较上年决算数增加1320万元，增长62.95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，上级下达项目、金额增加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科技条件与服务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万元，较上年决算数减少108万元，主要原因是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2017年上级补助的相关项目经费，2018年没有。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科学技术普及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万元，较上年决算数减少41万元，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24.40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人员减少，工资、五险一金等人员性支出减少。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科技重大项目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ascii="Times New Roman" w:hAnsi="Times New Roman" w:eastAsia="仿宋_GB2312" w:cs="Times New Roman"/>
          <w:sz w:val="32"/>
          <w:szCs w:val="32"/>
        </w:rPr>
        <w:t>50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其他科学技术支出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294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21.60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（六）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文化体育与传媒支出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8073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2303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39.91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上级补助项目、金额增加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1107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6.03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文物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1780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万元，较上年决算数减少436万元，下降19.68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上级补助项目、金额减少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体育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1987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113.41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上级补助项目、金额增加，群众体育支出中增加全民健身活动中心项目建设资金。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新闻出版广播影视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501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万元，较上年决算数减少35万元，降低6.53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其他文化体育与传媒支出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万元，较上年决算数增加724万元，增长326.13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工资、五险一金等人员性支出增加。</w:t>
      </w:r>
    </w:p>
    <w:p>
      <w:pPr>
        <w:spacing w:line="600" w:lineRule="exact"/>
        <w:ind w:firstLine="482" w:firstLineChars="1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（七）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社会保障和就业支出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22139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万元，较上年决算数增加8690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万元，增长64.61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，主要原因是（1）人员经费增加，使各相应科目支出增加；（2）补助标准提高，人数增加，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财政对基本养老保险基金的补助增加。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人力资源和社会保障管理事务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1433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35.96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民政管理事务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13.53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行政事业单位离退休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万元，较上年决算数减少133万元，下降42.36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企业改革补助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万元，较上年决算数减少340万元，主要原因是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就业补助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1254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11.07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抚恤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1491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万元，较上年决算数增加326万元， 增长27.98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人员经费减少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退役安置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5万元，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1.63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8.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社会福利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1160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万元，较上年决算数增加799万元，增长221.33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，主要原因是老年福利支出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科目调整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残疾人事业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1871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万元，较上年决算数增加325万元，增长21.02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自然灾害生活救助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247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万元，较上年决算数增加82万元，增长49.70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人员经费增加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红十字事业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万元，较上年决算数减少2万元，下降6.06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最低生活保障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1841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万元，较上年决算数减少22万元，下降1.18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临时救助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万元，较上年决算数减少18万元，下降6.23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特困人员救助供养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1545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111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7.74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其他生活救助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财政对基本养老保险基金的补助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8913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6861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万元，增长334.36%，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主要原因是补助标准提高，人数增加。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其他社会保障和就业支出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万元，较上年决算数下降34万元，下降24.82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27" w:firstLineChars="200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pacing w:val="-4"/>
          <w:sz w:val="32"/>
          <w:szCs w:val="32"/>
        </w:rPr>
        <w:t>（八）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医疗卫生与计划生育支出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20963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万元，较上年决算数下降1239万元，下降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5.58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医疗卫生与计划生育管理事务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886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万元，较上年决算数减少116万元，下降11.58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公立医院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1758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万元，较上年决算数减少681万元，下降27.92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补助资金减少。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基层医疗卫生机构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5229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0.35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公共卫生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4488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1349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42.98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补助资金增加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中医药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万元，较上年决算数增加26万元，增长113.04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补助资金增加。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计划生育事务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2006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1277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38.90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主要原因是科目调整。</w:t>
      </w:r>
    </w:p>
    <w:p>
      <w:pPr>
        <w:spacing w:line="600" w:lineRule="exact"/>
        <w:ind w:firstLine="770" w:firstLineChars="250"/>
        <w:rPr>
          <w:rFonts w:ascii="Times New Roman" w:hAnsi="Times New Roman" w:eastAsia="仿宋_GB2312" w:cs="Times New Roman"/>
          <w:spacing w:val="-6"/>
          <w:sz w:val="32"/>
          <w:szCs w:val="32"/>
        </w:rPr>
      </w:pPr>
      <w:r>
        <w:rPr>
          <w:rFonts w:ascii="Times New Roman" w:hAnsi="Times New Roman" w:eastAsia="仿宋_GB2312" w:cs="Times New Roman"/>
          <w:spacing w:val="-6"/>
          <w:sz w:val="32"/>
          <w:szCs w:val="32"/>
        </w:rPr>
        <w:t xml:space="preserve">7.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食品和药品监督管理事务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pacing w:val="-6"/>
          <w:sz w:val="32"/>
          <w:szCs w:val="32"/>
        </w:rPr>
        <w:t>347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万元，较上年决算数增加201万元，增长137.67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财政对基本医疗保险基金的补助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万元，较上年决算数减少2533万元，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主要原因是城乡医疗保险划归市级统筹</w:t>
      </w:r>
      <w:r>
        <w:rPr>
          <w:rFonts w:hint="eastAsia" w:ascii="宋体" w:cs="宋体"/>
          <w:color w:val="000000" w:themeColor="text1"/>
          <w:kern w:val="0"/>
          <w:sz w:val="20"/>
          <w:szCs w:val="20"/>
          <w:lang w:val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left="638" w:leftChars="304" w:firstLine="160" w:firstLineChars="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医疗救助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万元，较上年决算数减少1319万元，下降96.28，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主要原因是人员经费减少。</w:t>
      </w:r>
    </w:p>
    <w:p>
      <w:pPr>
        <w:spacing w:line="600" w:lineRule="exact"/>
        <w:ind w:left="638" w:leftChars="304" w:firstLine="160" w:firstLineChars="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优抚对象医疗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</w:t>
      </w:r>
      <w:r>
        <w:rPr>
          <w:rFonts w:ascii="Times New Roman" w:hAnsi="Times New Roman" w:eastAsia="仿宋_GB2312" w:cs="Times New Roman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较上年决算数减少47万元，下降41.96%，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主要原因是补助人数减少。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800" w:firstLineChars="250"/>
        <w:rPr>
          <w:rFonts w:ascii="宋体" w:cs="宋体"/>
          <w:color w:val="000000" w:themeColor="text1"/>
          <w:kern w:val="0"/>
          <w:sz w:val="20"/>
          <w:szCs w:val="20"/>
          <w:lang w:val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11.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其他医疗卫生与计划生育支出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5844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2900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98.51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补助资金增加</w:t>
      </w:r>
      <w:r>
        <w:rPr>
          <w:rFonts w:hint="eastAsia" w:ascii="宋体" w:cs="宋体"/>
          <w:color w:val="000000" w:themeColor="text1"/>
          <w:kern w:val="0"/>
          <w:sz w:val="20"/>
          <w:szCs w:val="20"/>
          <w:lang w:val="zh-CN"/>
        </w:rPr>
        <w:t>。</w:t>
      </w:r>
    </w:p>
    <w:p>
      <w:pPr>
        <w:spacing w:line="600" w:lineRule="exact"/>
        <w:ind w:firstLine="803" w:firstLineChars="25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（九）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节能环保支出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12882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1867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16.95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，主要原因是上级流域资金支出增加，垃圾治理费用增加，使得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污染防治支出增加。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环境保护管理事务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万元，较上年决算数减少323万元，下降60.60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环境监测与监察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255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万元，主要原因是全国污染源普查经费和空气监测站建设增加。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污染防治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10989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3757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51.95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主要原因是上级流域资金增加；垃圾治理费用增加。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自然生态保护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万元，较上年决算数减少72万元，下降19.35。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天然林保护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万元，较上年决算数减少903万元，下降68.77%。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</w:p>
    <w:p>
      <w:pPr>
        <w:spacing w:line="600" w:lineRule="exact"/>
        <w:ind w:firstLine="4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6.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能源节约利用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万元，较上年决算数减少169万元，下降39.86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污染减排70万元，较上年决算数减少588万元，下降89.36%，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主要原因是环保局收市垂管。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8、其他节能环保支出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382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 增长2.69%。</w:t>
      </w:r>
    </w:p>
    <w:p>
      <w:pPr>
        <w:spacing w:line="600" w:lineRule="exact"/>
        <w:ind w:firstLine="470" w:firstLineChars="150"/>
        <w:rPr>
          <w:rFonts w:ascii="Times New Roman" w:hAnsi="Times New Roman" w:eastAsia="仿宋_GB2312" w:cs="Times New Roman"/>
          <w:color w:val="000000" w:themeColor="text1"/>
          <w:spacing w:val="-4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pacing w:val="-4"/>
          <w:sz w:val="32"/>
          <w:szCs w:val="32"/>
        </w:rPr>
        <w:t>（十）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城乡社区支出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8799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万元，较上年决算数减少24384万元，下降73.48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pacing w:val="-4"/>
          <w:sz w:val="32"/>
          <w:szCs w:val="32"/>
        </w:rPr>
        <w:t>城市建设一般债券资金减少，其他城乡社区公共设施支出减少。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城乡社区管理事务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3399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万元，较上年决算数减少408万元，下降10.72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城乡社区规划与管理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1598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万元，较上年决算数增加7万元，增长0.44%。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城乡社区公共设施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1699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万元，较上年决算数减少25443万元，下降93.74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主要原因是小城镇基础设施建设支出减少，城市建设一般债券资金减少。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城乡社区环境卫生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2054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1792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683.97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主要原因是上级城乡社区环境卫生资金投入增加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其他城乡社区支出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87.14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，主要是国省干线横入线项目建设资金减少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（十一）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农林水支出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49959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1366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2.66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11074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万元，较上年决算数减少989万元，下降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8.20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left="622" w:leftChars="296"/>
        <w:rPr>
          <w:rFonts w:ascii="Times New Roman" w:hAnsi="Times New Roman" w:eastAsia="仿宋_GB2312" w:cs="仿宋_GB2312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林业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9340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万元，较上年决算数减少649万元，下降6.50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</w:t>
      </w:r>
    </w:p>
    <w:p>
      <w:pPr>
        <w:spacing w:line="600" w:lineRule="exact"/>
        <w:ind w:left="622" w:leftChars="296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水利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12113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万元，较上年决算数增加1319万元，增长12.22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扶贫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9128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万元,较上年决算数减少2940万元,下降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24.36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农业综合开发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96.25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主要原因是上级补助资金增加，专款支出增加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农村综合改革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5139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万元，较上年决算数增加342万元，增长7.13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普惠金融发展支出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1126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万元，较上年决算数增加626万元，增长125.20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，主要原因是上级补助资金增加，专款支出增加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其他农林水支出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（十二）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交通运输支出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19059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8895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87.51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上级车辆购置税用于公路等基础设施建设支出资金增加，车辆购置税支出增加。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公路水路运输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8077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万元，较上年决算数减少688万元，下降7.85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民用航空运输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万元，增长671.43%，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主要原因是航线运营补贴增加。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成品油价格改革对交通运输的补贴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398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万元，较上年决算数减少88万元，下降18.11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主要原因是上级专项资金减少。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车辆购置税支出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9612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8832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万元，增长1132.31%，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主要原因是上级车辆购置税用于公路等基础设施建设支出资金增加。</w:t>
      </w:r>
    </w:p>
    <w:p>
      <w:pPr>
        <w:spacing w:line="60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 6.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其他交通运输支出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万元，较上年决算数减少7万元。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（十三）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资源勘探信息等支出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1603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万元，较上年决算数减少583万元，下降26.67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上级补助资金减少。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资源勘探开发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较上年决算数增加105万元，增长70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安全生产监管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万元，增长44.67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支持中小企业发展和管理支出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272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万元，较上年决算数减少210万元，下降43.57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主要原因是上级补助资金减少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其他资源勘探信息等支出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357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万元，较上年决算数减少700万元，下降66.23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主要原因是上级补助资金减少，专款支出减少。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（十四）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商业服务业等支出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3906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9648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万元，下降71.18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主要原因是工程项目收尾支出减少，旅游业管理与服务支出减少。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商业流通事务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593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sz w:val="32"/>
          <w:szCs w:val="32"/>
        </w:rPr>
        <w:t>较上年决算数减少1525万元，下降72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主要原因是上级补助资金减少，专款支出减少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旅游业管理与服务支出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2670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万元，较上年决算数减少8336万元，下降75.74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主要原因是工程项目收尾支出减少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涉外发展服务支出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624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45.79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主要原因是上级专项资金增加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其他商业服务业等支出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（十五）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国土海洋气象等支出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2916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273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10.33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国土资源事务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2097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万元，较上年决算数减少461万元，下降18.02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地震事务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万元，较上年决算数增加1万元。</w:t>
      </w:r>
    </w:p>
    <w:p>
      <w:pPr>
        <w:spacing w:line="600" w:lineRule="exact"/>
        <w:ind w:firstLine="760" w:firstLineChars="250"/>
        <w:rPr>
          <w:rFonts w:ascii="Times New Roman" w:hAnsi="Times New Roman" w:eastAsia="仿宋_GB2312" w:cs="Times New Roman"/>
          <w:spacing w:val="-8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气象事务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6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67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pacing w:val="-8"/>
          <w:sz w:val="32"/>
          <w:szCs w:val="32"/>
        </w:rPr>
        <w:t>91.78</w:t>
      </w:r>
      <w:r>
        <w:rPr>
          <w:rFonts w:ascii="Times New Roman" w:hAnsi="Times New Roman" w:eastAsia="仿宋_GB2312" w:cs="Times New Roman"/>
          <w:spacing w:val="-8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8"/>
          <w:sz w:val="32"/>
          <w:szCs w:val="32"/>
        </w:rPr>
        <w:t>。</w:t>
      </w:r>
    </w:p>
    <w:p>
      <w:pPr>
        <w:spacing w:line="600" w:lineRule="exact"/>
        <w:ind w:firstLine="803" w:firstLineChars="250"/>
        <w:rPr>
          <w:rFonts w:ascii="Times New Roman" w:hAnsi="Times New Roman" w:eastAsia="仿宋_GB2312" w:cs="Times New Roman"/>
          <w:color w:val="FF0000"/>
          <w:spacing w:val="-8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（十六）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住房保障支出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809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54.37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主要原因是上级危房改造专项资金减少，农村危房改造支出相应减少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保障性安居工程支出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809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54.37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803" w:firstLineChars="2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（十七）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粮油物资储备支出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万元，较上年决算数减少1230万元，下降82.61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粮油事务支出减少。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粮油事务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259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万元，较上年决算数减少891万元，下降77.48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,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主要原因是粮库建设资金减少,其他粮油事务支出减少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物资事务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万元，较上年决算数减少156万元。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粮油储备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万元，较上年决算数减少183万元。</w:t>
      </w:r>
    </w:p>
    <w:p>
      <w:pPr>
        <w:spacing w:line="600" w:lineRule="exact"/>
        <w:ind w:firstLine="803" w:firstLineChars="250"/>
        <w:rPr>
          <w:rFonts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（十八）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其他支出</w:t>
      </w:r>
      <w:r>
        <w:rPr>
          <w:rFonts w:ascii="Times New Roman" w:hAnsi="Times New Roman" w:eastAsia="仿宋_GB2312" w:cs="Times New Roman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sz w:val="32"/>
          <w:szCs w:val="32"/>
        </w:rPr>
        <w:t>类</w:t>
      </w:r>
      <w:r>
        <w:rPr>
          <w:rFonts w:ascii="Times New Roman" w:hAnsi="Times New Roman" w:eastAsia="仿宋_GB2312" w:cs="Times New Roman"/>
          <w:sz w:val="32"/>
          <w:szCs w:val="32"/>
        </w:rPr>
        <w:t>)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495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万元，较上年决算数增加206万元，增长71.28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600" w:lineRule="exact"/>
        <w:ind w:firstLine="803" w:firstLineChars="2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（十九）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债务付息支出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4969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1778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55.72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。主要原因是</w:t>
      </w: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地方政府债券利息增加。</w:t>
      </w:r>
    </w:p>
    <w:p>
      <w:pPr>
        <w:spacing w:line="600" w:lineRule="exact"/>
        <w:ind w:firstLine="803" w:firstLineChars="25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sz w:val="32"/>
          <w:szCs w:val="32"/>
        </w:rPr>
        <w:t>（二十）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债务发行费用支出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万元，较上年决算数减少23万元，下降39.56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。主要原因是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</w:rPr>
        <w:t>地方政府发行费减少。</w:t>
      </w:r>
    </w:p>
    <w:p>
      <w:pPr>
        <w:spacing w:line="600" w:lineRule="exact"/>
        <w:ind w:firstLine="64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二、财政转移支付收入情况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2018年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度连城县收到税收返还和转移支付收入决算数为185815万元，比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11387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。具体情况如下：</w:t>
      </w:r>
    </w:p>
    <w:p>
      <w:pPr>
        <w:spacing w:line="600" w:lineRule="exact"/>
        <w:ind w:firstLine="643" w:firstLineChars="200"/>
        <w:rPr>
          <w:rStyle w:val="5"/>
          <w:rFonts w:ascii="楷体_GB2312" w:hAnsi="Times New Roman" w:eastAsia="楷体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kern w:val="0"/>
          <w:sz w:val="32"/>
          <w:szCs w:val="32"/>
        </w:rPr>
        <w:t>（一）</w:t>
      </w:r>
      <w:r>
        <w:rPr>
          <w:rStyle w:val="5"/>
          <w:rFonts w:hint="eastAsia" w:ascii="楷体_GB2312" w:hAnsi="Times New Roman" w:eastAsia="楷体_GB2312" w:cs="楷体_GB2312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624" w:firstLineChars="200"/>
        <w:rPr>
          <w:rFonts w:ascii="楷体_GB2312" w:hAnsi="Times New Roman" w:eastAsia="楷体_GB2312" w:cs="Times New Roman"/>
          <w:b/>
          <w:bCs/>
          <w:spacing w:val="-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2018年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度连城县收到一般转移支付决算数为100309万元，比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度决算数减少534万元，下降0.53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pacing w:val="-4"/>
          <w:sz w:val="32"/>
          <w:szCs w:val="32"/>
        </w:rPr>
        <w:t>。具体情况如下：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均衡性转移支付收入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28647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3106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12.16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县级基本财力保障机制奖补资金收入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15569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1.13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结算补助收入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2374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度决算数增加1270万元，增长115.04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成品油税费改革转移支付补助收入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227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度决算数减少90万元。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基层公检法司转移支付收入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1551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度决算数增加109万元，增长7.56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城乡义务教育转移支付收入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3314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度决算数减少241万元，下降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6.78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基本养老金转移支付收入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9692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度决算数增加1920万元，增长24.70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城乡居民医疗保险转移支付收入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9971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88.11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10.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农村综合改革转移支付收入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6924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度决算数增加2354万元，增长51.51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重点生态功能区转移支付收入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10162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589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6.15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固定数额补助收入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度决算数减少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55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13.</w:t>
      </w:r>
      <w:r>
        <w:rPr>
          <w:rFonts w:hint="eastAsia" w:ascii="Times New Roman" w:hAnsi="Times New Roman" w:eastAsia="仿宋_GB2312" w:cs="仿宋_GB2312"/>
          <w:sz w:val="32"/>
          <w:szCs w:val="32"/>
        </w:rPr>
        <w:t>革命老区转移支付收入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4180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130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万元，增长3.21%。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贫困地区转移支付收入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7277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度决算数减少817万元，下降10.09%。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15.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其他一般性转移支付收入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9046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988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万元，增加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12.26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Style w:val="5"/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kern w:val="0"/>
          <w:sz w:val="32"/>
          <w:szCs w:val="32"/>
        </w:rPr>
        <w:t>（二）</w:t>
      </w:r>
      <w:r>
        <w:rPr>
          <w:rStyle w:val="5"/>
          <w:rFonts w:hint="eastAsia" w:ascii="楷体_GB2312" w:hAnsi="Times New Roman" w:eastAsia="楷体_GB2312" w:cs="楷体_GB2312"/>
          <w:kern w:val="0"/>
          <w:sz w:val="32"/>
          <w:szCs w:val="32"/>
        </w:rPr>
        <w:t>专项转移支付</w:t>
      </w:r>
    </w:p>
    <w:p>
      <w:pPr>
        <w:spacing w:line="600" w:lineRule="exact"/>
        <w:ind w:firstLine="800" w:firstLineChars="25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2018年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度连城县收到专项转移支付收入决算数为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79027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万元，比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度决算数增加11921万元，增长17.76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。具体情况如下：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一般公共服务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683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度决算数增加142万元，增长26.25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公共安全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123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33.87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5740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度决算数增加1119万元，增长24.22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科学技术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1766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882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99.77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文化体育与传媒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2887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639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28.43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6.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社会保障和就业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4051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231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6.05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7.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医疗卫生与计划生育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7380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3384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84.68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8.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节能环保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9377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度决算数增加2331万元，增长33.08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9.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城乡社区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3938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度决算数减少466万元，下降10.58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10.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农林水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27373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1034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3.64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11.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交通运输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9513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6808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251.68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12.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资源勘探信息等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1039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度决算数减少319万元，下降23.49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13.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商业服务业等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933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度决算数减少2037万元，下降68.59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14.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金融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40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  <w:t>15.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国土海洋气象等</w:t>
      </w:r>
      <w:r>
        <w:rPr>
          <w:rFonts w:hint="eastAsia" w:ascii="Times New Roman" w:hAnsi="Times New Roman" w:eastAsia="仿宋_GB2312" w:cs="Times New Roman"/>
          <w:spacing w:val="4"/>
          <w:kern w:val="0"/>
          <w:sz w:val="32"/>
          <w:szCs w:val="32"/>
        </w:rPr>
        <w:t>3335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pacing w:val="4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度决算数增加</w:t>
      </w:r>
      <w:r>
        <w:rPr>
          <w:rFonts w:hint="eastAsia" w:ascii="Times New Roman" w:hAnsi="Times New Roman" w:eastAsia="仿宋_GB2312" w:cs="Times New Roman"/>
          <w:spacing w:val="4"/>
          <w:kern w:val="0"/>
          <w:sz w:val="32"/>
          <w:szCs w:val="32"/>
        </w:rPr>
        <w:t>2125</w:t>
      </w:r>
      <w:r>
        <w:rPr>
          <w:rFonts w:hint="eastAsia" w:ascii="Times New Roman" w:hAnsi="Times New Roman" w:eastAsia="仿宋_GB2312" w:cs="仿宋_GB2312"/>
          <w:spacing w:val="4"/>
          <w:kern w:val="0"/>
          <w:sz w:val="32"/>
          <w:szCs w:val="32"/>
        </w:rPr>
        <w:t>万元，增长175.62%。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16.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住房保障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809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955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54.14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>
      <w:pPr>
        <w:spacing w:line="600" w:lineRule="exact"/>
        <w:ind w:right="-155" w:rightChars="-74" w:firstLine="624" w:firstLineChars="200"/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17.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粮油物资储备</w:t>
      </w:r>
      <w:r>
        <w:rPr>
          <w:rFonts w:hint="eastAsia" w:ascii="Times New Roman" w:hAnsi="Times New Roman" w:eastAsia="仿宋_GB2312" w:cs="Times New Roman"/>
          <w:spacing w:val="-4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spacing w:val="-4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spacing w:val="-4"/>
          <w:kern w:val="0"/>
          <w:sz w:val="32"/>
          <w:szCs w:val="32"/>
        </w:rPr>
        <w:t>度决算数减少339万元。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18.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其他收入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0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万元，较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2017年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度决算数减少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567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43" w:firstLineChars="200"/>
        <w:rPr>
          <w:rStyle w:val="5"/>
          <w:rFonts w:ascii="楷体_GB2312" w:hAnsi="Times New Roman" w:eastAsia="楷体_GB2312" w:cs="Times New Roman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Times New Roman" w:eastAsia="楷体_GB2312" w:cs="楷体_GB2312"/>
          <w:b/>
          <w:bCs/>
          <w:kern w:val="0"/>
          <w:sz w:val="32"/>
          <w:szCs w:val="32"/>
        </w:rPr>
        <w:t>（三）</w:t>
      </w:r>
      <w:r>
        <w:rPr>
          <w:rStyle w:val="5"/>
          <w:rFonts w:hint="eastAsia" w:ascii="楷体_GB2312" w:hAnsi="Times New Roman" w:eastAsia="楷体_GB2312" w:cs="楷体_GB2312"/>
          <w:kern w:val="0"/>
          <w:sz w:val="32"/>
          <w:szCs w:val="32"/>
        </w:rPr>
        <w:t>税收返还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2018年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度连城县收到税收返还决算数为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6479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万元，与上年持平。具体情况如下：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增值税和消费税返还决算数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2336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所得税基数返还决算数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1053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成品油税费改革税收返还决算数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293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增值税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五五分享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税收返还决算数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279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万元，与上年持平。</w:t>
      </w:r>
    </w:p>
    <w:p>
      <w:pPr>
        <w:spacing w:line="60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　　</w:t>
      </w:r>
      <w:r>
        <w:rPr>
          <w:rFonts w:hint="eastAsia" w:ascii="黑体" w:hAnsi="Times New Roman" w:eastAsia="黑体" w:cs="黑体"/>
          <w:sz w:val="32"/>
          <w:szCs w:val="32"/>
        </w:rPr>
        <w:t>三、政府债务情况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2018年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，连城县一般债务余额限额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193986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万元，一般债务余额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165667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万元；连城县专项债务余额限额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147109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万元，专项债务余额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122321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黑体"/>
          <w:sz w:val="32"/>
          <w:szCs w:val="32"/>
        </w:rPr>
        <w:t>四、预算绩效开展情况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2018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，连城县财政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局共批复财政绩效目标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118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个，资金量为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37990.77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万元；以各部门单位自行监控的方式实施绩效监控管理，绩效监控管理金额为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37990.77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万元；对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119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个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2017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color="000000"/>
        </w:rPr>
        <w:t>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县本级项目进行绩效自评，自评项目资金为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28155.44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万元；对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个项目进行重点评价，评价金额为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304.98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万元。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2018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u w:color="000000"/>
        </w:rPr>
        <w:t>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度财政资金绩效管理绩效目标管理覆盖率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99.5%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、绩效监控覆盖率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99.5%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、绩效自评覆盖率</w:t>
      </w:r>
      <w:r>
        <w:rPr>
          <w:rFonts w:ascii="Times New Roman" w:hAnsi="Times New Roman" w:eastAsia="仿宋_GB2312" w:cs="Times New Roman"/>
          <w:kern w:val="0"/>
          <w:sz w:val="32"/>
          <w:szCs w:val="32"/>
          <w:u w:color="000000"/>
        </w:rPr>
        <w:t>99.9%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u w:color="000000"/>
        </w:rPr>
        <w:t>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160" w:firstLineChars="5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18</w:t>
    </w:r>
    <w:r>
      <w:rPr>
        <w:rStyle w:val="6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1DB389A"/>
    <w:rsid w:val="00011527"/>
    <w:rsid w:val="00030913"/>
    <w:rsid w:val="000559DA"/>
    <w:rsid w:val="00060594"/>
    <w:rsid w:val="0006700D"/>
    <w:rsid w:val="00073968"/>
    <w:rsid w:val="00075698"/>
    <w:rsid w:val="000923A4"/>
    <w:rsid w:val="000C268C"/>
    <w:rsid w:val="000C27AE"/>
    <w:rsid w:val="000D3B67"/>
    <w:rsid w:val="000E284E"/>
    <w:rsid w:val="000F22DE"/>
    <w:rsid w:val="000F4B36"/>
    <w:rsid w:val="000F5A17"/>
    <w:rsid w:val="0011488A"/>
    <w:rsid w:val="00121BC9"/>
    <w:rsid w:val="00122797"/>
    <w:rsid w:val="001504E5"/>
    <w:rsid w:val="00156D73"/>
    <w:rsid w:val="00175FC0"/>
    <w:rsid w:val="001A5B49"/>
    <w:rsid w:val="001B3750"/>
    <w:rsid w:val="001D3AAE"/>
    <w:rsid w:val="001E3CC4"/>
    <w:rsid w:val="001E5314"/>
    <w:rsid w:val="001E5455"/>
    <w:rsid w:val="0020265A"/>
    <w:rsid w:val="00231B06"/>
    <w:rsid w:val="00232D14"/>
    <w:rsid w:val="00254ABB"/>
    <w:rsid w:val="0025720A"/>
    <w:rsid w:val="00267511"/>
    <w:rsid w:val="00275583"/>
    <w:rsid w:val="002959BB"/>
    <w:rsid w:val="002B092E"/>
    <w:rsid w:val="002B2413"/>
    <w:rsid w:val="002D4079"/>
    <w:rsid w:val="002D4165"/>
    <w:rsid w:val="002D7586"/>
    <w:rsid w:val="002F0059"/>
    <w:rsid w:val="002F2B94"/>
    <w:rsid w:val="002F6B95"/>
    <w:rsid w:val="00302E7C"/>
    <w:rsid w:val="00327CD5"/>
    <w:rsid w:val="00330659"/>
    <w:rsid w:val="00330884"/>
    <w:rsid w:val="0033619C"/>
    <w:rsid w:val="00354774"/>
    <w:rsid w:val="00362EE0"/>
    <w:rsid w:val="00366CAF"/>
    <w:rsid w:val="00371EC9"/>
    <w:rsid w:val="0037681B"/>
    <w:rsid w:val="003821D7"/>
    <w:rsid w:val="0038338F"/>
    <w:rsid w:val="00383D08"/>
    <w:rsid w:val="00384CBC"/>
    <w:rsid w:val="00385ED3"/>
    <w:rsid w:val="00392C82"/>
    <w:rsid w:val="003A382F"/>
    <w:rsid w:val="003C050A"/>
    <w:rsid w:val="003C5CC9"/>
    <w:rsid w:val="003D7FC2"/>
    <w:rsid w:val="003E423D"/>
    <w:rsid w:val="003E666E"/>
    <w:rsid w:val="003E7E5C"/>
    <w:rsid w:val="00415A7A"/>
    <w:rsid w:val="0041748F"/>
    <w:rsid w:val="0042428B"/>
    <w:rsid w:val="0043115F"/>
    <w:rsid w:val="00436E89"/>
    <w:rsid w:val="0044179A"/>
    <w:rsid w:val="004701A4"/>
    <w:rsid w:val="004914E6"/>
    <w:rsid w:val="0049553E"/>
    <w:rsid w:val="004A161D"/>
    <w:rsid w:val="004A39B9"/>
    <w:rsid w:val="004A5016"/>
    <w:rsid w:val="004D3B39"/>
    <w:rsid w:val="004D6A26"/>
    <w:rsid w:val="005004E4"/>
    <w:rsid w:val="00524AB1"/>
    <w:rsid w:val="0052760A"/>
    <w:rsid w:val="00550A62"/>
    <w:rsid w:val="005539B7"/>
    <w:rsid w:val="005653FD"/>
    <w:rsid w:val="00595510"/>
    <w:rsid w:val="005B2CBC"/>
    <w:rsid w:val="005B58EE"/>
    <w:rsid w:val="005C7D07"/>
    <w:rsid w:val="005D0185"/>
    <w:rsid w:val="005E219D"/>
    <w:rsid w:val="005E7A50"/>
    <w:rsid w:val="006020F4"/>
    <w:rsid w:val="0061175F"/>
    <w:rsid w:val="0064677E"/>
    <w:rsid w:val="006705D5"/>
    <w:rsid w:val="00680640"/>
    <w:rsid w:val="00684E1E"/>
    <w:rsid w:val="006C4B48"/>
    <w:rsid w:val="006D1E3F"/>
    <w:rsid w:val="006E6E2D"/>
    <w:rsid w:val="007012E3"/>
    <w:rsid w:val="007079CB"/>
    <w:rsid w:val="00712FA0"/>
    <w:rsid w:val="00725374"/>
    <w:rsid w:val="00732951"/>
    <w:rsid w:val="00747874"/>
    <w:rsid w:val="007534CB"/>
    <w:rsid w:val="0078135A"/>
    <w:rsid w:val="007A016B"/>
    <w:rsid w:val="007A76CE"/>
    <w:rsid w:val="007D2A1C"/>
    <w:rsid w:val="007E74F6"/>
    <w:rsid w:val="007F3B52"/>
    <w:rsid w:val="008014BF"/>
    <w:rsid w:val="00850A25"/>
    <w:rsid w:val="00854846"/>
    <w:rsid w:val="00880382"/>
    <w:rsid w:val="00883D0C"/>
    <w:rsid w:val="008A7B45"/>
    <w:rsid w:val="008A7C30"/>
    <w:rsid w:val="008C4B63"/>
    <w:rsid w:val="008C6B48"/>
    <w:rsid w:val="008E5502"/>
    <w:rsid w:val="008F0C94"/>
    <w:rsid w:val="008F25CC"/>
    <w:rsid w:val="008F611F"/>
    <w:rsid w:val="008F77BC"/>
    <w:rsid w:val="00901C29"/>
    <w:rsid w:val="00912DE3"/>
    <w:rsid w:val="00914199"/>
    <w:rsid w:val="009238A7"/>
    <w:rsid w:val="00926966"/>
    <w:rsid w:val="00934AD3"/>
    <w:rsid w:val="00947872"/>
    <w:rsid w:val="0095133E"/>
    <w:rsid w:val="00957376"/>
    <w:rsid w:val="00965229"/>
    <w:rsid w:val="009B30E0"/>
    <w:rsid w:val="009B4AFC"/>
    <w:rsid w:val="009C36A8"/>
    <w:rsid w:val="00A23CBE"/>
    <w:rsid w:val="00A23EE0"/>
    <w:rsid w:val="00A35B02"/>
    <w:rsid w:val="00A43900"/>
    <w:rsid w:val="00A47423"/>
    <w:rsid w:val="00A9662F"/>
    <w:rsid w:val="00AA7D26"/>
    <w:rsid w:val="00AC0F05"/>
    <w:rsid w:val="00AC5B43"/>
    <w:rsid w:val="00B305A3"/>
    <w:rsid w:val="00B30713"/>
    <w:rsid w:val="00B46C6C"/>
    <w:rsid w:val="00B5383B"/>
    <w:rsid w:val="00B83C63"/>
    <w:rsid w:val="00BA23E5"/>
    <w:rsid w:val="00BB2D87"/>
    <w:rsid w:val="00BC6032"/>
    <w:rsid w:val="00BD59A2"/>
    <w:rsid w:val="00C025F1"/>
    <w:rsid w:val="00C02ECF"/>
    <w:rsid w:val="00C171F6"/>
    <w:rsid w:val="00C25087"/>
    <w:rsid w:val="00C74218"/>
    <w:rsid w:val="00C82653"/>
    <w:rsid w:val="00C82BE0"/>
    <w:rsid w:val="00C9028C"/>
    <w:rsid w:val="00CA2DA0"/>
    <w:rsid w:val="00CA5733"/>
    <w:rsid w:val="00CA6C9A"/>
    <w:rsid w:val="00CA6E62"/>
    <w:rsid w:val="00CC2F60"/>
    <w:rsid w:val="00CE0286"/>
    <w:rsid w:val="00CF7248"/>
    <w:rsid w:val="00D00E6F"/>
    <w:rsid w:val="00D036A8"/>
    <w:rsid w:val="00D043D7"/>
    <w:rsid w:val="00D30D4C"/>
    <w:rsid w:val="00D34182"/>
    <w:rsid w:val="00D43C9F"/>
    <w:rsid w:val="00D84AAE"/>
    <w:rsid w:val="00DB74AE"/>
    <w:rsid w:val="00DC4F58"/>
    <w:rsid w:val="00DC5175"/>
    <w:rsid w:val="00DE3055"/>
    <w:rsid w:val="00DF0088"/>
    <w:rsid w:val="00E42DC6"/>
    <w:rsid w:val="00E70685"/>
    <w:rsid w:val="00E74D91"/>
    <w:rsid w:val="00E76437"/>
    <w:rsid w:val="00E8492C"/>
    <w:rsid w:val="00EC7382"/>
    <w:rsid w:val="00EE360A"/>
    <w:rsid w:val="00EF7C59"/>
    <w:rsid w:val="00F04148"/>
    <w:rsid w:val="00F101CF"/>
    <w:rsid w:val="00F10470"/>
    <w:rsid w:val="00F13815"/>
    <w:rsid w:val="00F40166"/>
    <w:rsid w:val="00F457B3"/>
    <w:rsid w:val="00F53133"/>
    <w:rsid w:val="00F7423C"/>
    <w:rsid w:val="00F82E71"/>
    <w:rsid w:val="00F858E7"/>
    <w:rsid w:val="00F91539"/>
    <w:rsid w:val="00FA5B0B"/>
    <w:rsid w:val="00FA7415"/>
    <w:rsid w:val="00FC4A57"/>
    <w:rsid w:val="00FD5A45"/>
    <w:rsid w:val="01DB389A"/>
    <w:rsid w:val="1C3A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99"/>
    <w:rPr>
      <w:b/>
      <w:bCs/>
    </w:rPr>
  </w:style>
  <w:style w:type="character" w:styleId="6">
    <w:name w:val="page number"/>
    <w:basedOn w:val="4"/>
    <w:qFormat/>
    <w:uiPriority w:val="99"/>
  </w:style>
  <w:style w:type="character" w:customStyle="1" w:styleId="7">
    <w:name w:val="页脚 Char"/>
    <w:basedOn w:val="4"/>
    <w:link w:val="2"/>
    <w:semiHidden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1349</Words>
  <Characters>7693</Characters>
  <Lines>64</Lines>
  <Paragraphs>18</Paragraphs>
  <TotalTime>660</TotalTime>
  <ScaleCrop>false</ScaleCrop>
  <LinksUpToDate>false</LinksUpToDate>
  <CharactersWithSpaces>9024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2018-08-29T09:17:00Z</dcterms:created>
  <dc:creator>Administrator</dc:creator>
  <cp:lastModifiedBy>Administrator</cp:lastModifiedBy>
  <dcterms:modified xsi:type="dcterms:W3CDTF">2021-06-04T09:09:17Z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709CDCBF5F974C9C931E6606AFC04685</vt:lpwstr>
  </property>
</Properties>
</file>