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AA42B">
      <w:pPr>
        <w:pStyle w:val="2"/>
        <w:jc w:val="left"/>
        <w:rPr>
          <w:rFonts w:hint="eastAsia" w:ascii="Times New Roman" w:hAnsi="Times New Roman" w:eastAsia="仿宋_GB2312" w:cs="Times New Roman"/>
          <w:b w:val="0"/>
          <w:bCs w:val="0"/>
          <w:sz w:val="32"/>
          <w:szCs w:val="32"/>
        </w:rPr>
      </w:pPr>
      <w:r>
        <w:rPr>
          <w:rFonts w:hint="eastAsia" w:ascii="Times New Roman" w:hAnsi="Times New Roman" w:eastAsia="仿宋_GB2312" w:cs="仿宋_GB2312"/>
          <w:b w:val="0"/>
          <w:bCs w:val="0"/>
          <w:sz w:val="32"/>
          <w:szCs w:val="32"/>
        </w:rPr>
        <w:t>附件2</w:t>
      </w:r>
    </w:p>
    <w:p w14:paraId="4FC6A2ED">
      <w:pPr>
        <w:pStyle w:val="2"/>
        <w:jc w:val="center"/>
        <w:rPr>
          <w:rFonts w:ascii="方正小标宋简体" w:eastAsia="方正小标宋简体" w:cs="Times New Roman"/>
          <w:b w:val="0"/>
          <w:bCs w:val="0"/>
        </w:rPr>
      </w:pPr>
      <w:r>
        <w:rPr>
          <w:rFonts w:hint="eastAsia" w:ascii="方正小标宋简体" w:eastAsia="方正小标宋简体" w:cs="方正小标宋简体"/>
          <w:b w:val="0"/>
          <w:bCs w:val="0"/>
        </w:rPr>
        <w:t>政府预算相关重要事项说明</w:t>
      </w:r>
    </w:p>
    <w:p w14:paraId="433B6F88">
      <w:pPr>
        <w:spacing w:line="600" w:lineRule="exact"/>
        <w:ind w:firstLine="640" w:firstLineChars="200"/>
        <w:rPr>
          <w:rFonts w:ascii="黑体" w:hAnsi="黑体" w:eastAsia="黑体" w:cs="Times New Roman"/>
          <w:sz w:val="32"/>
          <w:szCs w:val="32"/>
        </w:rPr>
      </w:pPr>
    </w:p>
    <w:p w14:paraId="52A63FEB">
      <w:pPr>
        <w:spacing w:line="60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rPr>
        <w:t>一、</w:t>
      </w:r>
      <w:r>
        <w:rPr>
          <w:rFonts w:hint="eastAsia" w:ascii="黑体" w:hAnsi="Times New Roman" w:eastAsia="黑体" w:cs="黑体"/>
          <w:kern w:val="0"/>
          <w:sz w:val="32"/>
          <w:szCs w:val="32"/>
        </w:rPr>
        <w:t>连城县本级支出预算说明</w:t>
      </w:r>
    </w:p>
    <w:p w14:paraId="68A18879">
      <w:pPr>
        <w:spacing w:line="600" w:lineRule="exact"/>
        <w:ind w:firstLine="640" w:firstLineChars="200"/>
        <w:rPr>
          <w:rFonts w:ascii="Times New Roman" w:hAnsi="Times New Roman" w:eastAsia="仿宋_GB2312" w:cs="Times New Roman"/>
          <w:spacing w:val="-4"/>
          <w:kern w:val="0"/>
          <w:sz w:val="32"/>
          <w:szCs w:val="32"/>
        </w:rPr>
      </w:pPr>
      <w:r>
        <w:rPr>
          <w:rFonts w:ascii="Times New Roman" w:hAnsi="Times New Roman" w:eastAsia="仿宋_GB2312" w:cs="Times New Roman"/>
          <w:kern w:val="0"/>
          <w:sz w:val="32"/>
          <w:szCs w:val="32"/>
        </w:rPr>
        <w:t>2023</w:t>
      </w:r>
      <w:r>
        <w:rPr>
          <w:rFonts w:hint="eastAsia" w:ascii="Times New Roman" w:hAnsi="仿宋_GB2312" w:eastAsia="仿宋_GB2312" w:cs="仿宋_GB2312"/>
          <w:kern w:val="0"/>
          <w:sz w:val="32"/>
          <w:szCs w:val="32"/>
        </w:rPr>
        <w:t>年度连城县本级一般公共预算支出数为</w:t>
      </w:r>
      <w:r>
        <w:rPr>
          <w:rFonts w:ascii="Times New Roman" w:hAnsi="Times New Roman" w:eastAsia="仿宋_GB2312" w:cs="Times New Roman"/>
          <w:kern w:val="0"/>
          <w:sz w:val="32"/>
          <w:szCs w:val="32"/>
        </w:rPr>
        <w:t>250376</w:t>
      </w:r>
      <w:r>
        <w:rPr>
          <w:rFonts w:hint="eastAsia" w:ascii="Times New Roman" w:hAnsi="仿宋_GB2312" w:eastAsia="仿宋_GB2312" w:cs="仿宋_GB2312"/>
          <w:kern w:val="0"/>
          <w:sz w:val="32"/>
          <w:szCs w:val="32"/>
        </w:rPr>
        <w:t>万元，</w:t>
      </w:r>
      <w:r>
        <w:rPr>
          <w:rFonts w:hint="eastAsia" w:ascii="Times New Roman" w:hAnsi="仿宋_GB2312" w:eastAsia="仿宋_GB2312" w:cs="仿宋_GB2312"/>
          <w:spacing w:val="-4"/>
          <w:kern w:val="0"/>
          <w:sz w:val="32"/>
          <w:szCs w:val="32"/>
        </w:rPr>
        <w:t>比</w:t>
      </w:r>
      <w:r>
        <w:rPr>
          <w:rFonts w:ascii="Times New Roman" w:hAnsi="Times New Roman" w:eastAsia="仿宋_GB2312" w:cs="Times New Roman"/>
          <w:spacing w:val="-4"/>
          <w:kern w:val="0"/>
          <w:sz w:val="32"/>
          <w:szCs w:val="32"/>
        </w:rPr>
        <w:t>2022</w:t>
      </w:r>
      <w:r>
        <w:rPr>
          <w:rFonts w:hint="eastAsia" w:ascii="Times New Roman" w:hAnsi="仿宋_GB2312" w:eastAsia="仿宋_GB2312" w:cs="仿宋_GB2312"/>
          <w:spacing w:val="-4"/>
          <w:kern w:val="0"/>
          <w:sz w:val="32"/>
          <w:szCs w:val="32"/>
        </w:rPr>
        <w:t>年度预算数增加</w:t>
      </w:r>
      <w:r>
        <w:rPr>
          <w:rFonts w:ascii="Times New Roman" w:hAnsi="Times New Roman" w:eastAsia="仿宋_GB2312" w:cs="Times New Roman"/>
          <w:spacing w:val="-4"/>
          <w:kern w:val="0"/>
          <w:sz w:val="32"/>
          <w:szCs w:val="32"/>
        </w:rPr>
        <w:t>18100</w:t>
      </w:r>
      <w:r>
        <w:rPr>
          <w:rFonts w:hint="eastAsia" w:ascii="Times New Roman" w:hAnsi="仿宋_GB2312" w:eastAsia="仿宋_GB2312" w:cs="仿宋_GB2312"/>
          <w:spacing w:val="-4"/>
          <w:kern w:val="0"/>
          <w:sz w:val="32"/>
          <w:szCs w:val="32"/>
        </w:rPr>
        <w:t>万元，增长</w:t>
      </w:r>
      <w:r>
        <w:rPr>
          <w:rFonts w:ascii="Times New Roman" w:hAnsi="Times New Roman" w:eastAsia="仿宋_GB2312" w:cs="Times New Roman"/>
          <w:spacing w:val="-4"/>
          <w:kern w:val="0"/>
          <w:sz w:val="32"/>
          <w:szCs w:val="32"/>
        </w:rPr>
        <w:t>7.79%</w:t>
      </w:r>
      <w:r>
        <w:rPr>
          <w:rFonts w:hint="eastAsia" w:ascii="Times New Roman" w:hAnsi="仿宋_GB2312" w:eastAsia="仿宋_GB2312" w:cs="仿宋_GB2312"/>
          <w:spacing w:val="-4"/>
          <w:kern w:val="0"/>
          <w:sz w:val="32"/>
          <w:szCs w:val="32"/>
        </w:rPr>
        <w:t>。具体情况如下：</w:t>
      </w:r>
    </w:p>
    <w:p w14:paraId="02DFE7B8">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（一）</w:t>
      </w:r>
      <w:r>
        <w:rPr>
          <w:rFonts w:hint="eastAsia" w:ascii="Times New Roman" w:hAnsi="仿宋_GB2312" w:eastAsia="仿宋_GB2312" w:cs="仿宋_GB2312"/>
          <w:kern w:val="0"/>
          <w:sz w:val="32"/>
          <w:szCs w:val="32"/>
        </w:rPr>
        <w:t>一般公共服务支出</w:t>
      </w:r>
      <w:r>
        <w:rPr>
          <w:rFonts w:ascii="Times New Roman" w:hAnsi="Times New Roman" w:eastAsia="仿宋_GB2312" w:cs="Times New Roman"/>
          <w:kern w:val="0"/>
          <w:sz w:val="32"/>
          <w:szCs w:val="32"/>
        </w:rPr>
        <w:t>26328</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2609</w:t>
      </w:r>
      <w:r>
        <w:rPr>
          <w:rFonts w:hint="eastAsia" w:ascii="Times New Roman" w:hAnsi="仿宋_GB2312" w:eastAsia="仿宋_GB2312" w:cs="仿宋_GB2312"/>
          <w:kern w:val="0"/>
          <w:sz w:val="32"/>
          <w:szCs w:val="32"/>
        </w:rPr>
        <w:t>万元，下降</w:t>
      </w:r>
      <w:r>
        <w:rPr>
          <w:rFonts w:ascii="Times New Roman" w:hAnsi="Times New Roman" w:eastAsia="仿宋_GB2312" w:cs="Times New Roman"/>
          <w:kern w:val="0"/>
          <w:sz w:val="32"/>
          <w:szCs w:val="32"/>
        </w:rPr>
        <w:t>9.02%</w:t>
      </w:r>
      <w:r>
        <w:rPr>
          <w:rFonts w:hint="eastAsia" w:ascii="Times New Roman" w:hAnsi="仿宋_GB2312" w:eastAsia="仿宋_GB2312" w:cs="仿宋_GB2312"/>
          <w:kern w:val="0"/>
          <w:sz w:val="32"/>
          <w:szCs w:val="32"/>
        </w:rPr>
        <w:t>。主要原因是压减一般性支出。</w:t>
      </w:r>
    </w:p>
    <w:p w14:paraId="5E9A3D01">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（二）</w:t>
      </w:r>
      <w:r>
        <w:rPr>
          <w:rFonts w:hint="eastAsia" w:ascii="Times New Roman" w:hAnsi="Times New Roman" w:eastAsia="仿宋_GB2312" w:cs="仿宋_GB2312"/>
          <w:kern w:val="0"/>
          <w:sz w:val="32"/>
          <w:szCs w:val="32"/>
        </w:rPr>
        <w:t>国防支出</w:t>
      </w:r>
      <w:r>
        <w:rPr>
          <w:rFonts w:ascii="Times New Roman" w:hAnsi="Times New Roman" w:eastAsia="仿宋_GB2312" w:cs="Times New Roman"/>
          <w:kern w:val="0"/>
          <w:sz w:val="32"/>
          <w:szCs w:val="32"/>
        </w:rPr>
        <w:t>284</w:t>
      </w:r>
      <w:r>
        <w:rPr>
          <w:rFonts w:hint="eastAsia" w:ascii="Times New Roman" w:hAnsi="Times New Roman" w:eastAsia="仿宋_GB2312" w:cs="仿宋_GB2312"/>
          <w:kern w:val="0"/>
          <w:sz w:val="32"/>
          <w:szCs w:val="32"/>
        </w:rPr>
        <w:t>万元，较上年预算数增加</w:t>
      </w:r>
      <w:r>
        <w:rPr>
          <w:rFonts w:ascii="Times New Roman" w:hAnsi="Times New Roman" w:eastAsia="仿宋_GB2312" w:cs="Times New Roman"/>
          <w:kern w:val="0"/>
          <w:sz w:val="32"/>
          <w:szCs w:val="32"/>
        </w:rPr>
        <w:t>16</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5.63%</w:t>
      </w:r>
      <w:r>
        <w:rPr>
          <w:rFonts w:hint="eastAsia" w:ascii="Times New Roman" w:hAnsi="Times New Roman" w:eastAsia="仿宋_GB2312" w:cs="仿宋_GB2312"/>
          <w:kern w:val="0"/>
          <w:sz w:val="32"/>
          <w:szCs w:val="32"/>
        </w:rPr>
        <w:t>。</w:t>
      </w:r>
    </w:p>
    <w:p w14:paraId="342CE0E0">
      <w:pPr>
        <w:spacing w:line="600" w:lineRule="exact"/>
        <w:ind w:firstLine="643" w:firstLineChars="200"/>
        <w:rPr>
          <w:rFonts w:ascii="Times New Roman" w:hAnsi="Times New Roman" w:eastAsia="仿宋_GB2312" w:cs="Times New Roman"/>
          <w:spacing w:val="-6"/>
          <w:kern w:val="0"/>
          <w:sz w:val="32"/>
          <w:szCs w:val="32"/>
        </w:rPr>
      </w:pPr>
      <w:r>
        <w:rPr>
          <w:rFonts w:hint="eastAsia" w:ascii="楷体_GB2312" w:hAnsi="仿宋_GB2312" w:eastAsia="楷体_GB2312" w:cs="楷体_GB2312"/>
          <w:b/>
          <w:bCs/>
          <w:kern w:val="0"/>
          <w:sz w:val="32"/>
          <w:szCs w:val="32"/>
        </w:rPr>
        <w:t>（三）</w:t>
      </w:r>
      <w:r>
        <w:rPr>
          <w:rFonts w:hint="eastAsia" w:ascii="Times New Roman" w:hAnsi="仿宋_GB2312" w:eastAsia="仿宋_GB2312" w:cs="仿宋_GB2312"/>
          <w:kern w:val="0"/>
          <w:sz w:val="32"/>
          <w:szCs w:val="32"/>
        </w:rPr>
        <w:t>公共安全支出</w:t>
      </w:r>
      <w:r>
        <w:rPr>
          <w:rFonts w:ascii="Times New Roman" w:hAnsi="Times New Roman" w:eastAsia="仿宋_GB2312" w:cs="Times New Roman"/>
          <w:kern w:val="0"/>
          <w:sz w:val="32"/>
          <w:szCs w:val="32"/>
        </w:rPr>
        <w:t>11391</w:t>
      </w:r>
      <w:r>
        <w:rPr>
          <w:rFonts w:hint="eastAsia" w:ascii="Times New Roman" w:hAnsi="仿宋_GB2312" w:eastAsia="仿宋_GB2312" w:cs="仿宋_GB2312"/>
          <w:kern w:val="0"/>
          <w:sz w:val="32"/>
          <w:szCs w:val="32"/>
        </w:rPr>
        <w:t>万元，较上年预算数增加</w:t>
      </w:r>
      <w:r>
        <w:rPr>
          <w:rFonts w:ascii="Times New Roman" w:hAnsi="Times New Roman" w:eastAsia="仿宋_GB2312" w:cs="Times New Roman"/>
          <w:kern w:val="0"/>
          <w:sz w:val="32"/>
          <w:szCs w:val="32"/>
        </w:rPr>
        <w:t>707</w:t>
      </w:r>
      <w:r>
        <w:rPr>
          <w:rFonts w:hint="eastAsia" w:ascii="Times New Roman" w:hAnsi="仿宋_GB2312" w:eastAsia="仿宋_GB2312" w:cs="仿宋_GB2312"/>
          <w:spacing w:val="-6"/>
          <w:kern w:val="0"/>
          <w:sz w:val="32"/>
          <w:szCs w:val="32"/>
        </w:rPr>
        <w:t>万元，增长</w:t>
      </w:r>
      <w:r>
        <w:rPr>
          <w:rFonts w:ascii="Times New Roman" w:hAnsi="Times New Roman" w:eastAsia="仿宋_GB2312" w:cs="Times New Roman"/>
          <w:spacing w:val="-6"/>
          <w:kern w:val="0"/>
          <w:sz w:val="32"/>
          <w:szCs w:val="32"/>
        </w:rPr>
        <w:t>6.62%</w:t>
      </w:r>
      <w:r>
        <w:rPr>
          <w:rFonts w:hint="eastAsia" w:ascii="Times New Roman" w:hAnsi="仿宋_GB2312" w:eastAsia="仿宋_GB2312" w:cs="仿宋_GB2312"/>
          <w:spacing w:val="-6"/>
          <w:kern w:val="0"/>
          <w:sz w:val="32"/>
          <w:szCs w:val="32"/>
        </w:rPr>
        <w:t>。主要原因是</w:t>
      </w:r>
      <w:r>
        <w:rPr>
          <w:rFonts w:hint="eastAsia" w:ascii="Times New Roman" w:hAnsi="Times New Roman" w:eastAsia="仿宋_GB2312" w:cs="仿宋_GB2312"/>
          <w:spacing w:val="-6"/>
          <w:kern w:val="0"/>
          <w:sz w:val="32"/>
          <w:szCs w:val="32"/>
        </w:rPr>
        <w:t>人员经费及中央转移支付资金增加。</w:t>
      </w:r>
    </w:p>
    <w:p w14:paraId="171397CA">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（四）</w:t>
      </w:r>
      <w:r>
        <w:rPr>
          <w:rFonts w:hint="eastAsia" w:ascii="Times New Roman" w:hAnsi="仿宋_GB2312" w:eastAsia="仿宋_GB2312" w:cs="仿宋_GB2312"/>
          <w:kern w:val="0"/>
          <w:sz w:val="32"/>
          <w:szCs w:val="32"/>
        </w:rPr>
        <w:t>教育支出</w:t>
      </w:r>
      <w:r>
        <w:rPr>
          <w:rFonts w:ascii="Times New Roman" w:hAnsi="Times New Roman" w:eastAsia="仿宋_GB2312" w:cs="Times New Roman"/>
          <w:kern w:val="0"/>
          <w:sz w:val="32"/>
          <w:szCs w:val="32"/>
        </w:rPr>
        <w:t>73428</w:t>
      </w:r>
      <w:r>
        <w:rPr>
          <w:rFonts w:hint="eastAsia" w:ascii="Times New Roman" w:hAnsi="仿宋_GB2312" w:eastAsia="仿宋_GB2312" w:cs="仿宋_GB2312"/>
          <w:kern w:val="0"/>
          <w:sz w:val="32"/>
          <w:szCs w:val="32"/>
        </w:rPr>
        <w:t>万元，较上年预算数增加</w:t>
      </w:r>
      <w:r>
        <w:rPr>
          <w:rFonts w:ascii="Times New Roman" w:hAnsi="Times New Roman" w:eastAsia="仿宋_GB2312" w:cs="Times New Roman"/>
          <w:kern w:val="0"/>
          <w:sz w:val="32"/>
          <w:szCs w:val="32"/>
        </w:rPr>
        <w:t>8586</w:t>
      </w:r>
      <w:r>
        <w:rPr>
          <w:rFonts w:hint="eastAsia" w:ascii="Times New Roman" w:hAnsi="仿宋_GB2312" w:eastAsia="仿宋_GB2312" w:cs="仿宋_GB2312"/>
          <w:kern w:val="0"/>
          <w:sz w:val="32"/>
          <w:szCs w:val="32"/>
        </w:rPr>
        <w:t>万元，增长</w:t>
      </w:r>
      <w:r>
        <w:rPr>
          <w:rFonts w:ascii="Times New Roman" w:hAnsi="Times New Roman" w:eastAsia="仿宋_GB2312" w:cs="Times New Roman"/>
          <w:kern w:val="0"/>
          <w:sz w:val="32"/>
          <w:szCs w:val="32"/>
        </w:rPr>
        <w:t>11.23%</w:t>
      </w:r>
      <w:r>
        <w:rPr>
          <w:rFonts w:hint="eastAsia" w:ascii="Times New Roman" w:hAnsi="仿宋_GB2312" w:eastAsia="仿宋_GB2312" w:cs="仿宋_GB2312"/>
          <w:kern w:val="0"/>
          <w:sz w:val="32"/>
          <w:szCs w:val="32"/>
        </w:rPr>
        <w:t>。主要原因是上级提前下达转移支付资金</w:t>
      </w:r>
      <w:r>
        <w:rPr>
          <w:rFonts w:hint="eastAsia" w:ascii="Times New Roman" w:hAnsi="Times New Roman" w:eastAsia="仿宋_GB2312" w:cs="仿宋_GB2312"/>
          <w:kern w:val="0"/>
          <w:sz w:val="32"/>
          <w:szCs w:val="32"/>
        </w:rPr>
        <w:t>及人员经费增加</w:t>
      </w:r>
      <w:r>
        <w:rPr>
          <w:rFonts w:hint="eastAsia" w:ascii="Times New Roman" w:hAnsi="仿宋_GB2312" w:eastAsia="仿宋_GB2312" w:cs="仿宋_GB2312"/>
          <w:kern w:val="0"/>
          <w:sz w:val="32"/>
          <w:szCs w:val="32"/>
        </w:rPr>
        <w:t>等。</w:t>
      </w:r>
    </w:p>
    <w:p w14:paraId="13847A65">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（五）</w:t>
      </w:r>
      <w:r>
        <w:rPr>
          <w:rFonts w:hint="eastAsia" w:ascii="Times New Roman" w:hAnsi="仿宋_GB2312" w:eastAsia="仿宋_GB2312" w:cs="仿宋_GB2312"/>
          <w:kern w:val="0"/>
          <w:sz w:val="32"/>
          <w:szCs w:val="32"/>
        </w:rPr>
        <w:t>科学技术支出</w:t>
      </w:r>
      <w:r>
        <w:rPr>
          <w:rFonts w:ascii="Times New Roman" w:hAnsi="Times New Roman" w:eastAsia="仿宋_GB2312" w:cs="Times New Roman"/>
          <w:kern w:val="0"/>
          <w:sz w:val="32"/>
          <w:szCs w:val="32"/>
        </w:rPr>
        <w:t>7126</w:t>
      </w:r>
      <w:r>
        <w:rPr>
          <w:rFonts w:hint="eastAsia" w:ascii="Times New Roman" w:hAnsi="仿宋_GB2312" w:eastAsia="仿宋_GB2312" w:cs="仿宋_GB2312"/>
          <w:kern w:val="0"/>
          <w:sz w:val="32"/>
          <w:szCs w:val="32"/>
        </w:rPr>
        <w:t>万元，较上年预算数增加</w:t>
      </w:r>
      <w:r>
        <w:rPr>
          <w:rFonts w:ascii="Times New Roman" w:hAnsi="Times New Roman" w:eastAsia="仿宋_GB2312" w:cs="Times New Roman"/>
          <w:kern w:val="0"/>
          <w:sz w:val="32"/>
          <w:szCs w:val="32"/>
        </w:rPr>
        <w:t>3148</w:t>
      </w:r>
      <w:r>
        <w:rPr>
          <w:rFonts w:hint="eastAsia" w:ascii="Times New Roman" w:hAnsi="仿宋_GB2312" w:eastAsia="仿宋_GB2312" w:cs="仿宋_GB2312"/>
          <w:kern w:val="0"/>
          <w:sz w:val="32"/>
          <w:szCs w:val="32"/>
        </w:rPr>
        <w:t>万元，增长</w:t>
      </w:r>
      <w:r>
        <w:rPr>
          <w:rFonts w:ascii="Times New Roman" w:hAnsi="Times New Roman" w:eastAsia="仿宋_GB2312" w:cs="Times New Roman"/>
          <w:kern w:val="0"/>
          <w:sz w:val="32"/>
          <w:szCs w:val="32"/>
        </w:rPr>
        <w:t>79.14%</w:t>
      </w:r>
      <w:r>
        <w:rPr>
          <w:rFonts w:hint="eastAsia" w:ascii="Times New Roman" w:hAnsi="仿宋_GB2312" w:eastAsia="仿宋_GB2312" w:cs="仿宋_GB2312"/>
          <w:kern w:val="0"/>
          <w:sz w:val="32"/>
          <w:szCs w:val="32"/>
        </w:rPr>
        <w:t>。主要原因是企业扶持资金增加。</w:t>
      </w:r>
    </w:p>
    <w:p w14:paraId="7B4C7263">
      <w:pPr>
        <w:spacing w:line="600" w:lineRule="exact"/>
        <w:ind w:firstLine="643" w:firstLineChars="200"/>
        <w:rPr>
          <w:rFonts w:ascii="Times New Roman" w:hAnsi="Times New Roman" w:eastAsia="仿宋_GB2312" w:cs="Times New Roman"/>
          <w:spacing w:val="-4"/>
          <w:kern w:val="0"/>
          <w:sz w:val="32"/>
          <w:szCs w:val="32"/>
        </w:rPr>
      </w:pPr>
      <w:r>
        <w:rPr>
          <w:rFonts w:hint="eastAsia" w:ascii="楷体_GB2312" w:hAnsi="仿宋_GB2312" w:eastAsia="楷体_GB2312" w:cs="楷体_GB2312"/>
          <w:b/>
          <w:bCs/>
          <w:kern w:val="0"/>
          <w:sz w:val="32"/>
          <w:szCs w:val="32"/>
        </w:rPr>
        <w:t>（六）</w:t>
      </w:r>
      <w:r>
        <w:rPr>
          <w:rFonts w:hint="eastAsia" w:ascii="Times New Roman" w:hAnsi="仿宋_GB2312" w:eastAsia="仿宋_GB2312" w:cs="仿宋_GB2312"/>
          <w:kern w:val="0"/>
          <w:sz w:val="32"/>
          <w:szCs w:val="32"/>
        </w:rPr>
        <w:t>文化旅游体育与传媒支出</w:t>
      </w:r>
      <w:r>
        <w:rPr>
          <w:rFonts w:ascii="Times New Roman" w:hAnsi="Times New Roman" w:eastAsia="仿宋_GB2312" w:cs="Times New Roman"/>
          <w:kern w:val="0"/>
          <w:sz w:val="32"/>
          <w:szCs w:val="32"/>
        </w:rPr>
        <w:t>4392</w:t>
      </w:r>
      <w:r>
        <w:rPr>
          <w:rFonts w:hint="eastAsia" w:ascii="Times New Roman" w:hAnsi="仿宋_GB2312" w:eastAsia="仿宋_GB2312" w:cs="仿宋_GB2312"/>
          <w:kern w:val="0"/>
          <w:sz w:val="32"/>
          <w:szCs w:val="32"/>
        </w:rPr>
        <w:t>万元，较上年预算数</w:t>
      </w:r>
      <w:r>
        <w:rPr>
          <w:rFonts w:hint="eastAsia" w:ascii="Times New Roman" w:hAnsi="仿宋_GB2312" w:eastAsia="仿宋_GB2312" w:cs="仿宋_GB2312"/>
          <w:spacing w:val="-4"/>
          <w:kern w:val="0"/>
          <w:sz w:val="32"/>
          <w:szCs w:val="32"/>
        </w:rPr>
        <w:t>增加</w:t>
      </w:r>
      <w:r>
        <w:rPr>
          <w:rFonts w:ascii="Times New Roman" w:hAnsi="Times New Roman" w:eastAsia="仿宋_GB2312" w:cs="Times New Roman"/>
          <w:spacing w:val="-4"/>
          <w:kern w:val="0"/>
          <w:sz w:val="32"/>
          <w:szCs w:val="32"/>
        </w:rPr>
        <w:t>571</w:t>
      </w:r>
      <w:r>
        <w:rPr>
          <w:rFonts w:hint="eastAsia" w:ascii="Times New Roman" w:hAnsi="仿宋_GB2312" w:eastAsia="仿宋_GB2312" w:cs="仿宋_GB2312"/>
          <w:spacing w:val="-4"/>
          <w:kern w:val="0"/>
          <w:sz w:val="32"/>
          <w:szCs w:val="32"/>
        </w:rPr>
        <w:t>万元，增长</w:t>
      </w:r>
      <w:r>
        <w:rPr>
          <w:rFonts w:ascii="Times New Roman" w:hAnsi="Times New Roman" w:eastAsia="仿宋_GB2312" w:cs="Times New Roman"/>
          <w:spacing w:val="-4"/>
          <w:kern w:val="0"/>
          <w:sz w:val="32"/>
          <w:szCs w:val="32"/>
        </w:rPr>
        <w:t>14.94%</w:t>
      </w:r>
      <w:r>
        <w:rPr>
          <w:rFonts w:hint="eastAsia" w:ascii="Times New Roman" w:hAnsi="仿宋_GB2312" w:eastAsia="仿宋_GB2312" w:cs="仿宋_GB2312"/>
          <w:spacing w:val="-4"/>
          <w:kern w:val="0"/>
          <w:sz w:val="32"/>
          <w:szCs w:val="32"/>
        </w:rPr>
        <w:t>。主要原因是国家文物保护资金增加。</w:t>
      </w:r>
    </w:p>
    <w:p w14:paraId="32019708">
      <w:pPr>
        <w:spacing w:line="600" w:lineRule="exact"/>
        <w:ind w:firstLine="643" w:firstLineChars="200"/>
        <w:rPr>
          <w:rFonts w:ascii="Times New Roman" w:hAnsi="Times New Roman" w:eastAsia="仿宋_GB2312" w:cs="Times New Roman"/>
          <w:spacing w:val="-16"/>
          <w:kern w:val="0"/>
          <w:sz w:val="32"/>
          <w:szCs w:val="32"/>
        </w:rPr>
      </w:pPr>
      <w:r>
        <w:rPr>
          <w:rFonts w:hint="eastAsia" w:ascii="楷体_GB2312" w:hAnsi="仿宋_GB2312" w:eastAsia="楷体_GB2312" w:cs="楷体_GB2312"/>
          <w:b/>
          <w:bCs/>
          <w:kern w:val="0"/>
          <w:sz w:val="32"/>
          <w:szCs w:val="32"/>
        </w:rPr>
        <w:t>（七）</w:t>
      </w:r>
      <w:r>
        <w:rPr>
          <w:rFonts w:hint="eastAsia" w:ascii="Times New Roman" w:hAnsi="仿宋_GB2312" w:eastAsia="仿宋_GB2312" w:cs="仿宋_GB2312"/>
          <w:kern w:val="0"/>
          <w:sz w:val="32"/>
          <w:szCs w:val="32"/>
        </w:rPr>
        <w:t>社会保障和就业支出</w:t>
      </w:r>
      <w:r>
        <w:rPr>
          <w:rFonts w:ascii="Times New Roman" w:hAnsi="Times New Roman" w:eastAsia="仿宋_GB2312" w:cs="Times New Roman"/>
          <w:kern w:val="0"/>
          <w:sz w:val="32"/>
          <w:szCs w:val="32"/>
        </w:rPr>
        <w:t>41481</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spacing w:val="-16"/>
          <w:kern w:val="0"/>
          <w:sz w:val="32"/>
          <w:szCs w:val="32"/>
        </w:rPr>
        <w:t>1024</w:t>
      </w:r>
      <w:r>
        <w:rPr>
          <w:rFonts w:hint="eastAsia" w:ascii="Times New Roman" w:hAnsi="仿宋_GB2312" w:eastAsia="仿宋_GB2312" w:cs="仿宋_GB2312"/>
          <w:spacing w:val="-16"/>
          <w:kern w:val="0"/>
          <w:sz w:val="32"/>
          <w:szCs w:val="32"/>
        </w:rPr>
        <w:t>万元，下降</w:t>
      </w:r>
      <w:r>
        <w:rPr>
          <w:rFonts w:ascii="Times New Roman" w:hAnsi="Times New Roman" w:eastAsia="仿宋_GB2312" w:cs="Times New Roman"/>
          <w:spacing w:val="-16"/>
          <w:kern w:val="0"/>
          <w:sz w:val="32"/>
          <w:szCs w:val="32"/>
        </w:rPr>
        <w:t>2.41%</w:t>
      </w:r>
      <w:r>
        <w:rPr>
          <w:rFonts w:hint="eastAsia" w:ascii="Times New Roman" w:hAnsi="仿宋_GB2312" w:eastAsia="仿宋_GB2312" w:cs="仿宋_GB2312"/>
          <w:spacing w:val="-16"/>
          <w:kern w:val="0"/>
          <w:sz w:val="32"/>
          <w:szCs w:val="32"/>
        </w:rPr>
        <w:t>。主要原因是提前下达的上级就业补助资金减少。</w:t>
      </w:r>
    </w:p>
    <w:p w14:paraId="53ADF6B5">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（八）</w:t>
      </w:r>
      <w:r>
        <w:rPr>
          <w:rFonts w:hint="eastAsia" w:ascii="Times New Roman" w:hAnsi="仿宋_GB2312" w:eastAsia="仿宋_GB2312" w:cs="仿宋_GB2312"/>
          <w:kern w:val="0"/>
          <w:sz w:val="32"/>
          <w:szCs w:val="32"/>
        </w:rPr>
        <w:t>卫生健康支出</w:t>
      </w:r>
      <w:r>
        <w:rPr>
          <w:rFonts w:ascii="Times New Roman" w:hAnsi="Times New Roman" w:eastAsia="仿宋_GB2312" w:cs="Times New Roman"/>
          <w:kern w:val="0"/>
          <w:sz w:val="32"/>
          <w:szCs w:val="32"/>
        </w:rPr>
        <w:t>17263</w:t>
      </w:r>
      <w:r>
        <w:rPr>
          <w:rFonts w:hint="eastAsia" w:ascii="Times New Roman" w:hAnsi="仿宋_GB2312" w:eastAsia="仿宋_GB2312" w:cs="仿宋_GB2312"/>
          <w:kern w:val="0"/>
          <w:sz w:val="32"/>
          <w:szCs w:val="32"/>
        </w:rPr>
        <w:t>万元，较上年预算数增加</w:t>
      </w:r>
      <w:r>
        <w:rPr>
          <w:rFonts w:ascii="Times New Roman" w:hAnsi="Times New Roman" w:eastAsia="仿宋_GB2312" w:cs="Times New Roman"/>
          <w:kern w:val="0"/>
          <w:sz w:val="32"/>
          <w:szCs w:val="32"/>
        </w:rPr>
        <w:t>2561</w:t>
      </w:r>
      <w:r>
        <w:rPr>
          <w:rFonts w:hint="eastAsia" w:ascii="Times New Roman" w:hAnsi="仿宋_GB2312" w:eastAsia="仿宋_GB2312" w:cs="仿宋_GB2312"/>
          <w:kern w:val="0"/>
          <w:sz w:val="32"/>
          <w:szCs w:val="32"/>
        </w:rPr>
        <w:t>万元，增长</w:t>
      </w:r>
      <w:r>
        <w:rPr>
          <w:rFonts w:ascii="Times New Roman" w:hAnsi="Times New Roman" w:eastAsia="仿宋_GB2312" w:cs="Times New Roman"/>
          <w:kern w:val="0"/>
          <w:sz w:val="32"/>
          <w:szCs w:val="32"/>
        </w:rPr>
        <w:t>17.42%</w:t>
      </w:r>
      <w:r>
        <w:rPr>
          <w:rFonts w:hint="eastAsia" w:ascii="Times New Roman" w:hAnsi="仿宋_GB2312" w:eastAsia="仿宋_GB2312" w:cs="仿宋_GB2312"/>
          <w:kern w:val="0"/>
          <w:sz w:val="32"/>
          <w:szCs w:val="32"/>
        </w:rPr>
        <w:t>。主要原因是增加常态化疫情防控经费增加。</w:t>
      </w:r>
    </w:p>
    <w:p w14:paraId="5651B536">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（九）</w:t>
      </w:r>
      <w:r>
        <w:rPr>
          <w:rFonts w:hint="eastAsia" w:ascii="Times New Roman" w:hAnsi="仿宋_GB2312" w:eastAsia="仿宋_GB2312" w:cs="仿宋_GB2312"/>
          <w:kern w:val="0"/>
          <w:sz w:val="32"/>
          <w:szCs w:val="32"/>
        </w:rPr>
        <w:t>节能环保支出</w:t>
      </w:r>
      <w:r>
        <w:rPr>
          <w:rFonts w:ascii="Times New Roman" w:hAnsi="Times New Roman" w:eastAsia="仿宋_GB2312" w:cs="Times New Roman"/>
          <w:kern w:val="0"/>
          <w:sz w:val="32"/>
          <w:szCs w:val="32"/>
        </w:rPr>
        <w:t>7726</w:t>
      </w:r>
      <w:r>
        <w:rPr>
          <w:rFonts w:hint="eastAsia" w:ascii="Times New Roman" w:hAnsi="仿宋_GB2312" w:eastAsia="仿宋_GB2312" w:cs="仿宋_GB2312"/>
          <w:kern w:val="0"/>
          <w:sz w:val="32"/>
          <w:szCs w:val="32"/>
        </w:rPr>
        <w:t>万元，较上年预算数增加</w:t>
      </w:r>
      <w:r>
        <w:rPr>
          <w:rFonts w:ascii="Times New Roman" w:hAnsi="Times New Roman" w:eastAsia="仿宋_GB2312" w:cs="Times New Roman"/>
          <w:kern w:val="0"/>
          <w:sz w:val="32"/>
          <w:szCs w:val="32"/>
        </w:rPr>
        <w:t>4449</w:t>
      </w:r>
      <w:r>
        <w:rPr>
          <w:rFonts w:hint="eastAsia" w:ascii="Times New Roman" w:hAnsi="仿宋_GB2312" w:eastAsia="仿宋_GB2312" w:cs="仿宋_GB2312"/>
          <w:kern w:val="0"/>
          <w:sz w:val="32"/>
          <w:szCs w:val="32"/>
        </w:rPr>
        <w:t>万元，增长</w:t>
      </w:r>
      <w:r>
        <w:rPr>
          <w:rFonts w:ascii="Times New Roman" w:hAnsi="Times New Roman" w:eastAsia="仿宋_GB2312" w:cs="Times New Roman"/>
          <w:kern w:val="0"/>
          <w:sz w:val="32"/>
          <w:szCs w:val="32"/>
        </w:rPr>
        <w:t>135.76%</w:t>
      </w:r>
      <w:r>
        <w:rPr>
          <w:rFonts w:hint="eastAsia" w:ascii="Times New Roman" w:hAnsi="仿宋_GB2312" w:eastAsia="仿宋_GB2312" w:cs="仿宋_GB2312"/>
          <w:kern w:val="0"/>
          <w:sz w:val="32"/>
          <w:szCs w:val="32"/>
        </w:rPr>
        <w:t>。主要原因是</w:t>
      </w:r>
      <w:r>
        <w:rPr>
          <w:rFonts w:ascii="Times New Roman" w:hAnsi="Times New Roman" w:eastAsia="仿宋_GB2312" w:cs="Times New Roman"/>
          <w:kern w:val="0"/>
          <w:sz w:val="32"/>
          <w:szCs w:val="32"/>
        </w:rPr>
        <w:t>PPP</w:t>
      </w:r>
      <w:r>
        <w:rPr>
          <w:rFonts w:hint="eastAsia" w:ascii="Times New Roman" w:hAnsi="仿宋_GB2312" w:eastAsia="仿宋_GB2312" w:cs="仿宋_GB2312"/>
          <w:kern w:val="0"/>
          <w:sz w:val="32"/>
          <w:szCs w:val="32"/>
        </w:rPr>
        <w:t>乡镇污水处理设施回购、污水处理、垃圾处理增支。</w:t>
      </w:r>
    </w:p>
    <w:p w14:paraId="09582368">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w:t>
      </w:r>
      <w:r>
        <w:rPr>
          <w:rFonts w:hint="eastAsia" w:ascii="Times New Roman" w:hAnsi="仿宋_GB2312" w:eastAsia="仿宋_GB2312" w:cs="仿宋_GB2312"/>
          <w:kern w:val="0"/>
          <w:sz w:val="32"/>
          <w:szCs w:val="32"/>
        </w:rPr>
        <w:t>城乡社区支出</w:t>
      </w:r>
      <w:r>
        <w:rPr>
          <w:rFonts w:ascii="Times New Roman" w:hAnsi="Times New Roman" w:eastAsia="仿宋_GB2312" w:cs="Times New Roman"/>
          <w:kern w:val="0"/>
          <w:sz w:val="32"/>
          <w:szCs w:val="32"/>
        </w:rPr>
        <w:t>17144</w:t>
      </w:r>
      <w:r>
        <w:rPr>
          <w:rFonts w:hint="eastAsia" w:ascii="Times New Roman" w:hAnsi="仿宋_GB2312" w:eastAsia="仿宋_GB2312" w:cs="仿宋_GB2312"/>
          <w:kern w:val="0"/>
          <w:sz w:val="32"/>
          <w:szCs w:val="32"/>
        </w:rPr>
        <w:t>万元，较上年预算数增加</w:t>
      </w:r>
      <w:r>
        <w:rPr>
          <w:rFonts w:ascii="Times New Roman" w:hAnsi="Times New Roman" w:eastAsia="仿宋_GB2312" w:cs="Times New Roman"/>
          <w:kern w:val="0"/>
          <w:sz w:val="32"/>
          <w:szCs w:val="32"/>
        </w:rPr>
        <w:t>12497</w:t>
      </w:r>
      <w:r>
        <w:rPr>
          <w:rFonts w:hint="eastAsia" w:ascii="Times New Roman" w:hAnsi="仿宋_GB2312" w:eastAsia="仿宋_GB2312" w:cs="仿宋_GB2312"/>
          <w:kern w:val="0"/>
          <w:sz w:val="32"/>
          <w:szCs w:val="32"/>
        </w:rPr>
        <w:t>万元，增长</w:t>
      </w:r>
      <w:r>
        <w:rPr>
          <w:rFonts w:ascii="Times New Roman" w:hAnsi="Times New Roman" w:eastAsia="仿宋_GB2312" w:cs="Times New Roman"/>
          <w:kern w:val="0"/>
          <w:sz w:val="32"/>
          <w:szCs w:val="32"/>
        </w:rPr>
        <w:t>268.93%</w:t>
      </w:r>
      <w:r>
        <w:rPr>
          <w:rFonts w:hint="eastAsia" w:ascii="Times New Roman" w:hAnsi="仿宋_GB2312" w:eastAsia="仿宋_GB2312" w:cs="仿宋_GB2312"/>
          <w:kern w:val="0"/>
          <w:sz w:val="32"/>
          <w:szCs w:val="32"/>
        </w:rPr>
        <w:t>。主要原因是市政基础设施</w:t>
      </w:r>
      <w:r>
        <w:rPr>
          <w:rFonts w:ascii="Times New Roman" w:hAnsi="Times New Roman" w:eastAsia="仿宋_GB2312" w:cs="Times New Roman"/>
          <w:kern w:val="0"/>
          <w:sz w:val="32"/>
          <w:szCs w:val="32"/>
        </w:rPr>
        <w:t>PPP</w:t>
      </w:r>
      <w:r>
        <w:rPr>
          <w:rFonts w:hint="eastAsia" w:ascii="Times New Roman" w:hAnsi="仿宋_GB2312" w:eastAsia="仿宋_GB2312" w:cs="仿宋_GB2312"/>
          <w:kern w:val="0"/>
          <w:sz w:val="32"/>
          <w:szCs w:val="32"/>
        </w:rPr>
        <w:t>回购款增加。</w:t>
      </w:r>
    </w:p>
    <w:p w14:paraId="09030802">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（十一）</w:t>
      </w:r>
      <w:r>
        <w:rPr>
          <w:rFonts w:hint="eastAsia" w:ascii="Times New Roman" w:hAnsi="仿宋_GB2312" w:eastAsia="仿宋_GB2312" w:cs="仿宋_GB2312"/>
          <w:kern w:val="0"/>
          <w:sz w:val="32"/>
          <w:szCs w:val="32"/>
        </w:rPr>
        <w:t>农林水支出</w:t>
      </w:r>
      <w:r>
        <w:rPr>
          <w:rFonts w:ascii="Times New Roman" w:hAnsi="Times New Roman" w:eastAsia="仿宋_GB2312" w:cs="Times New Roman"/>
          <w:kern w:val="0"/>
          <w:sz w:val="32"/>
          <w:szCs w:val="32"/>
        </w:rPr>
        <w:t>17939</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5980</w:t>
      </w:r>
      <w:r>
        <w:rPr>
          <w:rFonts w:hint="eastAsia" w:ascii="Times New Roman" w:hAnsi="仿宋_GB2312" w:eastAsia="仿宋_GB2312" w:cs="仿宋_GB2312"/>
          <w:kern w:val="0"/>
          <w:sz w:val="32"/>
          <w:szCs w:val="32"/>
        </w:rPr>
        <w:t>万元，下降</w:t>
      </w:r>
      <w:r>
        <w:rPr>
          <w:rFonts w:ascii="Times New Roman" w:hAnsi="Times New Roman" w:eastAsia="仿宋_GB2312" w:cs="Times New Roman"/>
          <w:kern w:val="0"/>
          <w:sz w:val="32"/>
          <w:szCs w:val="32"/>
        </w:rPr>
        <w:t>25%</w:t>
      </w:r>
      <w:r>
        <w:rPr>
          <w:rFonts w:hint="eastAsia" w:ascii="Times New Roman" w:hAnsi="仿宋_GB2312" w:eastAsia="仿宋_GB2312" w:cs="仿宋_GB2312"/>
          <w:kern w:val="0"/>
          <w:sz w:val="32"/>
          <w:szCs w:val="32"/>
        </w:rPr>
        <w:t>。主要原因是财政衔接推进乡村振兴补助资金、国土绿化专项转移支付资金减少。</w:t>
      </w:r>
    </w:p>
    <w:p w14:paraId="123B71E9">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（十二）</w:t>
      </w:r>
      <w:r>
        <w:rPr>
          <w:rFonts w:hint="eastAsia" w:ascii="Times New Roman" w:hAnsi="仿宋_GB2312" w:eastAsia="仿宋_GB2312" w:cs="仿宋_GB2312"/>
          <w:kern w:val="0"/>
          <w:sz w:val="32"/>
          <w:szCs w:val="32"/>
        </w:rPr>
        <w:t>交通运输支出</w:t>
      </w:r>
      <w:r>
        <w:rPr>
          <w:rFonts w:ascii="Times New Roman" w:hAnsi="Times New Roman" w:eastAsia="仿宋_GB2312" w:cs="Times New Roman"/>
          <w:kern w:val="0"/>
          <w:sz w:val="32"/>
          <w:szCs w:val="32"/>
        </w:rPr>
        <w:t>1033</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1662</w:t>
      </w:r>
      <w:r>
        <w:rPr>
          <w:rFonts w:hint="eastAsia" w:ascii="Times New Roman" w:hAnsi="仿宋_GB2312" w:eastAsia="仿宋_GB2312" w:cs="仿宋_GB2312"/>
          <w:kern w:val="0"/>
          <w:sz w:val="32"/>
          <w:szCs w:val="32"/>
        </w:rPr>
        <w:t>万元，下降</w:t>
      </w:r>
      <w:r>
        <w:rPr>
          <w:rFonts w:ascii="Times New Roman" w:hAnsi="Times New Roman" w:eastAsia="仿宋_GB2312" w:cs="Times New Roman"/>
          <w:kern w:val="0"/>
          <w:sz w:val="32"/>
          <w:szCs w:val="32"/>
        </w:rPr>
        <w:t>61.67%</w:t>
      </w:r>
      <w:r>
        <w:rPr>
          <w:rFonts w:hint="eastAsia" w:ascii="Times New Roman" w:hAnsi="仿宋_GB2312" w:eastAsia="仿宋_GB2312" w:cs="仿宋_GB2312"/>
          <w:kern w:val="0"/>
          <w:sz w:val="32"/>
          <w:szCs w:val="32"/>
        </w:rPr>
        <w:t>。主要原因是车辆购置税补助地方农村公路建设项目减少。</w:t>
      </w:r>
    </w:p>
    <w:p w14:paraId="641DC84F">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（十三）</w:t>
      </w:r>
      <w:r>
        <w:rPr>
          <w:rFonts w:hint="eastAsia" w:ascii="Times New Roman" w:hAnsi="仿宋_GB2312" w:eastAsia="仿宋_GB2312" w:cs="仿宋_GB2312"/>
          <w:kern w:val="0"/>
          <w:sz w:val="32"/>
          <w:szCs w:val="32"/>
        </w:rPr>
        <w:t>商业服务业支出</w:t>
      </w:r>
      <w:r>
        <w:rPr>
          <w:rFonts w:ascii="Times New Roman" w:hAnsi="Times New Roman" w:eastAsia="仿宋_GB2312" w:cs="Times New Roman"/>
          <w:kern w:val="0"/>
          <w:sz w:val="32"/>
          <w:szCs w:val="32"/>
        </w:rPr>
        <w:t>274</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109</w:t>
      </w:r>
      <w:r>
        <w:rPr>
          <w:rFonts w:hint="eastAsia" w:ascii="Times New Roman" w:hAnsi="仿宋_GB2312" w:eastAsia="仿宋_GB2312" w:cs="仿宋_GB2312"/>
          <w:kern w:val="0"/>
          <w:sz w:val="32"/>
          <w:szCs w:val="32"/>
        </w:rPr>
        <w:t>万元，下降</w:t>
      </w:r>
      <w:r>
        <w:rPr>
          <w:rFonts w:ascii="Times New Roman" w:hAnsi="Times New Roman" w:eastAsia="仿宋_GB2312" w:cs="Times New Roman"/>
          <w:kern w:val="0"/>
          <w:sz w:val="32"/>
          <w:szCs w:val="32"/>
        </w:rPr>
        <w:t>28.46%</w:t>
      </w:r>
      <w:r>
        <w:rPr>
          <w:rFonts w:hint="eastAsia" w:ascii="Times New Roman" w:hAnsi="仿宋_GB2312" w:eastAsia="仿宋_GB2312" w:cs="仿宋_GB2312"/>
          <w:kern w:val="0"/>
          <w:sz w:val="32"/>
          <w:szCs w:val="32"/>
        </w:rPr>
        <w:t>。主要原因是生猪调出大县等支出减少。</w:t>
      </w:r>
    </w:p>
    <w:p w14:paraId="5BEFF21E">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（十四）</w:t>
      </w:r>
      <w:r>
        <w:rPr>
          <w:rFonts w:hint="eastAsia" w:ascii="Times New Roman" w:hAnsi="仿宋_GB2312" w:eastAsia="仿宋_GB2312" w:cs="仿宋_GB2312"/>
          <w:kern w:val="0"/>
          <w:sz w:val="32"/>
          <w:szCs w:val="32"/>
        </w:rPr>
        <w:t>自然资源海洋气象支出</w:t>
      </w:r>
      <w:r>
        <w:rPr>
          <w:rFonts w:ascii="Times New Roman" w:hAnsi="Times New Roman" w:eastAsia="仿宋_GB2312" w:cs="Times New Roman"/>
          <w:kern w:val="0"/>
          <w:sz w:val="32"/>
          <w:szCs w:val="32"/>
        </w:rPr>
        <w:t>2146</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214</w:t>
      </w:r>
      <w:r>
        <w:rPr>
          <w:rFonts w:hint="eastAsia" w:ascii="Times New Roman" w:hAnsi="仿宋_GB2312" w:eastAsia="仿宋_GB2312" w:cs="仿宋_GB2312"/>
          <w:kern w:val="0"/>
          <w:sz w:val="32"/>
          <w:szCs w:val="32"/>
        </w:rPr>
        <w:t>万元，下降</w:t>
      </w:r>
      <w:r>
        <w:rPr>
          <w:rFonts w:ascii="Times New Roman" w:hAnsi="Times New Roman" w:eastAsia="仿宋_GB2312" w:cs="Times New Roman"/>
          <w:kern w:val="0"/>
          <w:sz w:val="32"/>
          <w:szCs w:val="32"/>
        </w:rPr>
        <w:t>9.07%</w:t>
      </w:r>
      <w:r>
        <w:rPr>
          <w:rFonts w:hint="eastAsia" w:ascii="Times New Roman" w:hAnsi="仿宋_GB2312" w:eastAsia="仿宋_GB2312" w:cs="仿宋_GB2312"/>
          <w:kern w:val="0"/>
          <w:sz w:val="32"/>
          <w:szCs w:val="32"/>
        </w:rPr>
        <w:t>。主要原因是压减一般性支出。</w:t>
      </w:r>
    </w:p>
    <w:p w14:paraId="28A47BC3">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（十五）</w:t>
      </w:r>
      <w:r>
        <w:rPr>
          <w:rFonts w:hint="eastAsia" w:ascii="Times New Roman" w:hAnsi="仿宋_GB2312" w:eastAsia="仿宋_GB2312" w:cs="仿宋_GB2312"/>
          <w:kern w:val="0"/>
          <w:sz w:val="32"/>
          <w:szCs w:val="32"/>
        </w:rPr>
        <w:t>粮油物资储备支出</w:t>
      </w:r>
      <w:r>
        <w:rPr>
          <w:rFonts w:ascii="Times New Roman" w:hAnsi="Times New Roman" w:eastAsia="仿宋_GB2312" w:cs="Times New Roman"/>
          <w:kern w:val="0"/>
          <w:sz w:val="32"/>
          <w:szCs w:val="32"/>
        </w:rPr>
        <w:t>231</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190</w:t>
      </w:r>
      <w:r>
        <w:rPr>
          <w:rFonts w:hint="eastAsia" w:ascii="Times New Roman" w:hAnsi="仿宋_GB2312" w:eastAsia="仿宋_GB2312" w:cs="仿宋_GB2312"/>
          <w:kern w:val="0"/>
          <w:sz w:val="32"/>
          <w:szCs w:val="32"/>
        </w:rPr>
        <w:t>万元，下降</w:t>
      </w:r>
      <w:r>
        <w:rPr>
          <w:rFonts w:ascii="Times New Roman" w:hAnsi="Times New Roman" w:eastAsia="仿宋_GB2312" w:cs="Times New Roman"/>
          <w:kern w:val="0"/>
          <w:sz w:val="32"/>
          <w:szCs w:val="32"/>
        </w:rPr>
        <w:t>45.17%</w:t>
      </w:r>
      <w:r>
        <w:rPr>
          <w:rFonts w:hint="eastAsia" w:ascii="Times New Roman" w:hAnsi="仿宋_GB2312" w:eastAsia="仿宋_GB2312" w:cs="仿宋_GB2312"/>
          <w:kern w:val="0"/>
          <w:sz w:val="32"/>
          <w:szCs w:val="32"/>
        </w:rPr>
        <w:t>。主要原因是压减部门业务经费。</w:t>
      </w:r>
    </w:p>
    <w:p w14:paraId="1A4DCD4B">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（十六）</w:t>
      </w:r>
      <w:r>
        <w:rPr>
          <w:rFonts w:hint="eastAsia" w:ascii="Times New Roman" w:hAnsi="仿宋_GB2312" w:eastAsia="仿宋_GB2312" w:cs="仿宋_GB2312"/>
          <w:kern w:val="0"/>
          <w:sz w:val="32"/>
          <w:szCs w:val="32"/>
        </w:rPr>
        <w:t>灾害防治及应急管理支出</w:t>
      </w:r>
      <w:r>
        <w:rPr>
          <w:rFonts w:ascii="Times New Roman" w:hAnsi="Times New Roman" w:eastAsia="仿宋_GB2312" w:cs="Times New Roman"/>
          <w:kern w:val="0"/>
          <w:sz w:val="32"/>
          <w:szCs w:val="32"/>
        </w:rPr>
        <w:t>2204</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127</w:t>
      </w:r>
      <w:r>
        <w:rPr>
          <w:rFonts w:hint="eastAsia" w:ascii="Times New Roman" w:hAnsi="仿宋_GB2312" w:eastAsia="仿宋_GB2312" w:cs="仿宋_GB2312"/>
          <w:kern w:val="0"/>
          <w:sz w:val="32"/>
          <w:szCs w:val="32"/>
        </w:rPr>
        <w:t>万元，下降</w:t>
      </w:r>
      <w:r>
        <w:rPr>
          <w:rFonts w:ascii="Times New Roman" w:hAnsi="Times New Roman" w:eastAsia="仿宋_GB2312" w:cs="Times New Roman"/>
          <w:kern w:val="0"/>
          <w:sz w:val="32"/>
          <w:szCs w:val="32"/>
        </w:rPr>
        <w:t>5.45%</w:t>
      </w:r>
      <w:r>
        <w:rPr>
          <w:rFonts w:hint="eastAsia" w:ascii="Times New Roman" w:hAnsi="仿宋_GB2312" w:eastAsia="仿宋_GB2312" w:cs="仿宋_GB2312"/>
          <w:kern w:val="0"/>
          <w:sz w:val="32"/>
          <w:szCs w:val="32"/>
        </w:rPr>
        <w:t>。主要原因是压减一般性支出。</w:t>
      </w:r>
    </w:p>
    <w:p w14:paraId="72DBDF1B">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（十七）</w:t>
      </w:r>
      <w:r>
        <w:rPr>
          <w:rFonts w:hint="eastAsia" w:ascii="Times New Roman" w:hAnsi="仿宋_GB2312" w:eastAsia="仿宋_GB2312" w:cs="仿宋_GB2312"/>
          <w:kern w:val="0"/>
          <w:sz w:val="32"/>
          <w:szCs w:val="32"/>
        </w:rPr>
        <w:t>预备费支出</w:t>
      </w:r>
      <w:r>
        <w:rPr>
          <w:rFonts w:ascii="Times New Roman" w:hAnsi="Times New Roman" w:eastAsia="仿宋_GB2312" w:cs="Times New Roman"/>
          <w:kern w:val="0"/>
          <w:sz w:val="32"/>
          <w:szCs w:val="32"/>
        </w:rPr>
        <w:t>4263</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2166</w:t>
      </w:r>
      <w:r>
        <w:rPr>
          <w:rFonts w:hint="eastAsia" w:ascii="Times New Roman" w:hAnsi="仿宋_GB2312" w:eastAsia="仿宋_GB2312" w:cs="仿宋_GB2312"/>
          <w:kern w:val="0"/>
          <w:sz w:val="32"/>
          <w:szCs w:val="32"/>
        </w:rPr>
        <w:t>万元，下降</w:t>
      </w:r>
      <w:r>
        <w:rPr>
          <w:rFonts w:ascii="Times New Roman" w:hAnsi="Times New Roman" w:eastAsia="仿宋_GB2312" w:cs="Times New Roman"/>
          <w:kern w:val="0"/>
          <w:sz w:val="32"/>
          <w:szCs w:val="32"/>
        </w:rPr>
        <w:t>33.69%</w:t>
      </w:r>
      <w:r>
        <w:rPr>
          <w:rFonts w:hint="eastAsia" w:ascii="Times New Roman" w:hAnsi="仿宋_GB2312" w:eastAsia="仿宋_GB2312" w:cs="仿宋_GB2312"/>
          <w:kern w:val="0"/>
          <w:sz w:val="32"/>
          <w:szCs w:val="32"/>
        </w:rPr>
        <w:t>。主要原因是根据《预算法》规定安排，按</w:t>
      </w:r>
      <w:r>
        <w:rPr>
          <w:rFonts w:ascii="Times New Roman" w:hAnsi="Times New Roman" w:eastAsia="仿宋_GB2312" w:cs="Times New Roman"/>
          <w:kern w:val="0"/>
          <w:sz w:val="32"/>
          <w:szCs w:val="32"/>
        </w:rPr>
        <w:t>2023</w:t>
      </w:r>
      <w:r>
        <w:rPr>
          <w:rFonts w:hint="eastAsia" w:ascii="Times New Roman" w:hAnsi="仿宋_GB2312" w:eastAsia="仿宋_GB2312" w:cs="仿宋_GB2312"/>
          <w:kern w:val="0"/>
          <w:sz w:val="32"/>
          <w:szCs w:val="32"/>
        </w:rPr>
        <w:t>年本级预算支出数的</w:t>
      </w:r>
      <w:r>
        <w:rPr>
          <w:rFonts w:ascii="Times New Roman" w:hAnsi="Times New Roman" w:eastAsia="仿宋_GB2312" w:cs="Times New Roman"/>
          <w:kern w:val="0"/>
          <w:sz w:val="32"/>
          <w:szCs w:val="32"/>
        </w:rPr>
        <w:t>1.7%</w:t>
      </w:r>
      <w:r>
        <w:rPr>
          <w:rFonts w:hint="eastAsia" w:ascii="Times New Roman" w:hAnsi="仿宋_GB2312" w:eastAsia="仿宋_GB2312" w:cs="仿宋_GB2312"/>
          <w:kern w:val="0"/>
          <w:sz w:val="32"/>
          <w:szCs w:val="32"/>
        </w:rPr>
        <w:t>安排。</w:t>
      </w:r>
    </w:p>
    <w:p w14:paraId="69659839">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（十八）</w:t>
      </w:r>
      <w:r>
        <w:rPr>
          <w:rFonts w:hint="eastAsia" w:ascii="Times New Roman" w:hAnsi="仿宋_GB2312" w:eastAsia="仿宋_GB2312" w:cs="仿宋_GB2312"/>
          <w:kern w:val="0"/>
          <w:sz w:val="32"/>
          <w:szCs w:val="32"/>
        </w:rPr>
        <w:t>其他支出</w:t>
      </w:r>
      <w:r>
        <w:rPr>
          <w:rFonts w:ascii="Times New Roman" w:hAnsi="Times New Roman" w:eastAsia="仿宋_GB2312" w:cs="Times New Roman"/>
          <w:kern w:val="0"/>
          <w:sz w:val="32"/>
          <w:szCs w:val="32"/>
        </w:rPr>
        <w:t>9464</w:t>
      </w:r>
      <w:r>
        <w:rPr>
          <w:rFonts w:hint="eastAsia" w:ascii="Times New Roman" w:hAnsi="仿宋_GB2312" w:eastAsia="仿宋_GB2312" w:cs="仿宋_GB2312"/>
          <w:kern w:val="0"/>
          <w:sz w:val="32"/>
          <w:szCs w:val="32"/>
        </w:rPr>
        <w:t>万元，较上年预算数增加</w:t>
      </w:r>
      <w:r>
        <w:rPr>
          <w:rFonts w:ascii="Times New Roman" w:hAnsi="Times New Roman" w:eastAsia="仿宋_GB2312" w:cs="Times New Roman"/>
          <w:kern w:val="0"/>
          <w:sz w:val="32"/>
          <w:szCs w:val="32"/>
        </w:rPr>
        <w:t>6338</w:t>
      </w:r>
      <w:r>
        <w:rPr>
          <w:rFonts w:hint="eastAsia" w:ascii="Times New Roman" w:hAnsi="仿宋_GB2312" w:eastAsia="仿宋_GB2312" w:cs="仿宋_GB2312"/>
          <w:kern w:val="0"/>
          <w:sz w:val="32"/>
          <w:szCs w:val="32"/>
        </w:rPr>
        <w:t>万元，增长</w:t>
      </w:r>
      <w:r>
        <w:rPr>
          <w:rFonts w:ascii="Times New Roman" w:hAnsi="Times New Roman" w:eastAsia="仿宋_GB2312" w:cs="Times New Roman"/>
          <w:kern w:val="0"/>
          <w:sz w:val="32"/>
          <w:szCs w:val="32"/>
        </w:rPr>
        <w:t>202.75%</w:t>
      </w:r>
      <w:r>
        <w:rPr>
          <w:rFonts w:hint="eastAsia" w:ascii="Times New Roman" w:hAnsi="仿宋_GB2312" w:eastAsia="仿宋_GB2312" w:cs="仿宋_GB2312"/>
          <w:kern w:val="0"/>
          <w:sz w:val="32"/>
          <w:szCs w:val="32"/>
        </w:rPr>
        <w:t>，主要是年初预留资金增加。</w:t>
      </w:r>
    </w:p>
    <w:p w14:paraId="1A2A8636">
      <w:pPr>
        <w:spacing w:line="600" w:lineRule="exact"/>
        <w:ind w:firstLine="643" w:firstLineChars="200"/>
        <w:rPr>
          <w:rFonts w:ascii="Times New Roman" w:hAnsi="Times New Roman" w:eastAsia="仿宋_GB2312" w:cs="Times New Roman"/>
          <w:kern w:val="0"/>
          <w:sz w:val="32"/>
          <w:szCs w:val="32"/>
        </w:rPr>
      </w:pPr>
      <w:r>
        <w:rPr>
          <w:rFonts w:hint="eastAsia" w:ascii="楷体_GB2312" w:hAnsi="仿宋_GB2312" w:eastAsia="楷体_GB2312" w:cs="楷体_GB2312"/>
          <w:b/>
          <w:bCs/>
          <w:kern w:val="0"/>
          <w:sz w:val="32"/>
          <w:szCs w:val="32"/>
        </w:rPr>
        <w:t>（十九）</w:t>
      </w:r>
      <w:r>
        <w:rPr>
          <w:rFonts w:hint="eastAsia" w:ascii="Times New Roman" w:hAnsi="仿宋_GB2312" w:eastAsia="仿宋_GB2312" w:cs="仿宋_GB2312"/>
          <w:kern w:val="0"/>
          <w:sz w:val="32"/>
          <w:szCs w:val="32"/>
        </w:rPr>
        <w:t>债务付息支出</w:t>
      </w:r>
      <w:r>
        <w:rPr>
          <w:rFonts w:ascii="Times New Roman" w:hAnsi="Times New Roman" w:eastAsia="仿宋_GB2312" w:cs="Times New Roman"/>
          <w:kern w:val="0"/>
          <w:sz w:val="32"/>
          <w:szCs w:val="32"/>
        </w:rPr>
        <w:t>6243</w:t>
      </w:r>
      <w:r>
        <w:rPr>
          <w:rFonts w:hint="eastAsia" w:ascii="Times New Roman" w:hAnsi="仿宋_GB2312" w:eastAsia="仿宋_GB2312" w:cs="仿宋_GB2312"/>
          <w:kern w:val="0"/>
          <w:sz w:val="32"/>
          <w:szCs w:val="32"/>
        </w:rPr>
        <w:t>万元，较上年预算数减少</w:t>
      </w:r>
      <w:r>
        <w:rPr>
          <w:rFonts w:ascii="Times New Roman" w:hAnsi="Times New Roman" w:eastAsia="仿宋_GB2312" w:cs="Times New Roman"/>
          <w:kern w:val="0"/>
          <w:sz w:val="32"/>
          <w:szCs w:val="32"/>
        </w:rPr>
        <w:t>6509</w:t>
      </w:r>
      <w:r>
        <w:rPr>
          <w:rFonts w:hint="eastAsia" w:ascii="Times New Roman" w:hAnsi="仿宋_GB2312" w:eastAsia="仿宋_GB2312" w:cs="仿宋_GB2312"/>
          <w:kern w:val="0"/>
          <w:sz w:val="32"/>
          <w:szCs w:val="32"/>
        </w:rPr>
        <w:t>，增长</w:t>
      </w:r>
      <w:r>
        <w:rPr>
          <w:rFonts w:ascii="Times New Roman" w:hAnsi="Times New Roman" w:eastAsia="仿宋_GB2312" w:cs="Times New Roman"/>
          <w:kern w:val="0"/>
          <w:sz w:val="32"/>
          <w:szCs w:val="32"/>
        </w:rPr>
        <w:t>51.04%</w:t>
      </w:r>
      <w:r>
        <w:rPr>
          <w:rFonts w:hint="eastAsia" w:ascii="Times New Roman" w:hAnsi="仿宋_GB2312" w:eastAsia="仿宋_GB2312" w:cs="仿宋_GB2312"/>
          <w:kern w:val="0"/>
          <w:sz w:val="32"/>
          <w:szCs w:val="32"/>
        </w:rPr>
        <w:t>。</w:t>
      </w:r>
    </w:p>
    <w:p w14:paraId="72E96A0C">
      <w:pPr>
        <w:spacing w:line="60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rPr>
        <w:t>二、财政转移支付安排情况</w:t>
      </w:r>
    </w:p>
    <w:p w14:paraId="14E6389D">
      <w:pPr>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2023</w:t>
      </w:r>
      <w:r>
        <w:rPr>
          <w:rFonts w:hint="eastAsia" w:ascii="Times New Roman" w:hAnsi="Times New Roman" w:eastAsia="仿宋_GB2312" w:cs="仿宋_GB2312"/>
          <w:kern w:val="0"/>
          <w:sz w:val="32"/>
          <w:szCs w:val="32"/>
        </w:rPr>
        <w:t>年度连城县对下税收返还和转移支付预算数为</w:t>
      </w:r>
      <w:r>
        <w:rPr>
          <w:rFonts w:ascii="Times New Roman" w:hAnsi="Times New Roman" w:eastAsia="仿宋_GB2312" w:cs="Times New Roman"/>
          <w:kern w:val="0"/>
          <w:sz w:val="32"/>
          <w:szCs w:val="32"/>
        </w:rPr>
        <w:t>0</w:t>
      </w:r>
      <w:r>
        <w:rPr>
          <w:rFonts w:hint="eastAsia" w:ascii="Times New Roman" w:hAnsi="Times New Roman" w:eastAsia="仿宋_GB2312" w:cs="仿宋_GB2312"/>
          <w:kern w:val="0"/>
          <w:sz w:val="32"/>
          <w:szCs w:val="32"/>
        </w:rPr>
        <w:t>万元。未安排对下转移支付主要原因是：本县所辖乡镇作为一级预算部门管理，未单独编制政府预算，为此未有一般公共预算对下税收返还和转移支付预算数据。具体情况如下：</w:t>
      </w:r>
    </w:p>
    <w:p w14:paraId="573B4D68">
      <w:pPr>
        <w:spacing w:line="600"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楷体_GB2312"/>
          <w:b/>
          <w:bCs/>
          <w:kern w:val="0"/>
          <w:sz w:val="32"/>
          <w:szCs w:val="32"/>
        </w:rPr>
        <w:t>（一）</w:t>
      </w:r>
      <w:r>
        <w:rPr>
          <w:rFonts w:hint="eastAsia" w:ascii="楷体_GB2312" w:hAnsi="Times New Roman" w:eastAsia="楷体_GB2312" w:cs="楷体_GB2312"/>
          <w:b/>
          <w:bCs/>
          <w:sz w:val="32"/>
          <w:szCs w:val="32"/>
        </w:rPr>
        <w:t>一般性转移支付</w:t>
      </w:r>
    </w:p>
    <w:p w14:paraId="626F5FA0">
      <w:pPr>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2023</w:t>
      </w:r>
      <w:r>
        <w:rPr>
          <w:rFonts w:hint="eastAsia" w:ascii="Times New Roman" w:hAnsi="Times New Roman" w:eastAsia="仿宋_GB2312" w:cs="仿宋_GB2312"/>
          <w:kern w:val="0"/>
          <w:sz w:val="32"/>
          <w:szCs w:val="32"/>
        </w:rPr>
        <w:t>年度连城县对下一般转移支付预算数为</w:t>
      </w:r>
      <w:r>
        <w:rPr>
          <w:rFonts w:ascii="Times New Roman" w:hAnsi="Times New Roman" w:eastAsia="仿宋_GB2312" w:cs="Times New Roman"/>
          <w:kern w:val="0"/>
          <w:sz w:val="32"/>
          <w:szCs w:val="32"/>
        </w:rPr>
        <w:t>0</w:t>
      </w:r>
      <w:r>
        <w:rPr>
          <w:rFonts w:hint="eastAsia" w:ascii="Times New Roman" w:hAnsi="Times New Roman" w:eastAsia="仿宋_GB2312" w:cs="仿宋_GB2312"/>
          <w:kern w:val="0"/>
          <w:sz w:val="32"/>
          <w:szCs w:val="32"/>
        </w:rPr>
        <w:t>万元。</w:t>
      </w:r>
    </w:p>
    <w:p w14:paraId="28C87B99">
      <w:pPr>
        <w:spacing w:line="600"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楷体_GB2312"/>
          <w:b/>
          <w:bCs/>
          <w:sz w:val="32"/>
          <w:szCs w:val="32"/>
        </w:rPr>
        <w:t>（二）专项转移支付</w:t>
      </w:r>
    </w:p>
    <w:p w14:paraId="372C23BA">
      <w:pPr>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2023</w:t>
      </w:r>
      <w:r>
        <w:rPr>
          <w:rFonts w:hint="eastAsia" w:ascii="Times New Roman" w:hAnsi="Times New Roman" w:eastAsia="仿宋_GB2312" w:cs="仿宋_GB2312"/>
          <w:kern w:val="0"/>
          <w:sz w:val="32"/>
          <w:szCs w:val="32"/>
        </w:rPr>
        <w:t>年度连城县对下专项转移支付预算数为</w:t>
      </w:r>
      <w:r>
        <w:rPr>
          <w:rFonts w:ascii="Times New Roman" w:hAnsi="Times New Roman" w:eastAsia="仿宋_GB2312" w:cs="Times New Roman"/>
          <w:kern w:val="0"/>
          <w:sz w:val="32"/>
          <w:szCs w:val="32"/>
        </w:rPr>
        <w:t>0</w:t>
      </w:r>
      <w:r>
        <w:rPr>
          <w:rFonts w:hint="eastAsia" w:ascii="Times New Roman" w:hAnsi="Times New Roman" w:eastAsia="仿宋_GB2312" w:cs="仿宋_GB2312"/>
          <w:kern w:val="0"/>
          <w:sz w:val="32"/>
          <w:szCs w:val="32"/>
        </w:rPr>
        <w:t>万元。</w:t>
      </w:r>
    </w:p>
    <w:p w14:paraId="3BF35CB5">
      <w:pPr>
        <w:spacing w:line="600"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楷体_GB2312"/>
          <w:b/>
          <w:bCs/>
          <w:sz w:val="32"/>
          <w:szCs w:val="32"/>
        </w:rPr>
        <w:t>（三）税收返还</w:t>
      </w:r>
    </w:p>
    <w:p w14:paraId="3A1D1977">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kern w:val="0"/>
          <w:sz w:val="32"/>
          <w:szCs w:val="32"/>
        </w:rPr>
        <w:t>2023</w:t>
      </w:r>
      <w:r>
        <w:rPr>
          <w:rFonts w:hint="eastAsia" w:ascii="Times New Roman" w:hAnsi="Times New Roman" w:eastAsia="仿宋_GB2312" w:cs="仿宋_GB2312"/>
          <w:kern w:val="0"/>
          <w:sz w:val="32"/>
          <w:szCs w:val="32"/>
        </w:rPr>
        <w:t>年度连城县对下税收返还预算数为</w:t>
      </w:r>
      <w:r>
        <w:rPr>
          <w:rFonts w:ascii="Times New Roman" w:hAnsi="Times New Roman" w:eastAsia="仿宋_GB2312" w:cs="Times New Roman"/>
          <w:kern w:val="0"/>
          <w:sz w:val="32"/>
          <w:szCs w:val="32"/>
        </w:rPr>
        <w:t>0</w:t>
      </w:r>
      <w:r>
        <w:rPr>
          <w:rFonts w:hint="eastAsia" w:ascii="Times New Roman" w:hAnsi="Times New Roman" w:eastAsia="仿宋_GB2312" w:cs="仿宋_GB2312"/>
          <w:kern w:val="0"/>
          <w:sz w:val="32"/>
          <w:szCs w:val="32"/>
        </w:rPr>
        <w:t>万元。</w:t>
      </w:r>
    </w:p>
    <w:p w14:paraId="5733AFE2">
      <w:pPr>
        <w:spacing w:line="60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rPr>
        <w:t>三、举借政府债务情况</w:t>
      </w:r>
    </w:p>
    <w:p w14:paraId="13E820D0">
      <w:pPr>
        <w:spacing w:line="600" w:lineRule="exact"/>
        <w:ind w:firstLine="640" w:firstLineChars="200"/>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lang w:val="zh-CN"/>
        </w:rPr>
        <w:t>2022</w:t>
      </w:r>
      <w:r>
        <w:rPr>
          <w:rFonts w:hint="eastAsia" w:ascii="Times New Roman" w:hAnsi="Times New Roman" w:eastAsia="仿宋_GB2312" w:cs="仿宋_GB2312"/>
          <w:kern w:val="0"/>
          <w:sz w:val="32"/>
          <w:szCs w:val="32"/>
          <w:lang w:val="zh-CN"/>
        </w:rPr>
        <w:t>年，连城县新增债务限额</w:t>
      </w:r>
      <w:r>
        <w:rPr>
          <w:rFonts w:ascii="Times New Roman" w:hAnsi="Times New Roman" w:eastAsia="仿宋_GB2312" w:cs="Times New Roman"/>
          <w:kern w:val="0"/>
          <w:sz w:val="32"/>
          <w:szCs w:val="32"/>
          <w:lang w:val="zh-CN"/>
        </w:rPr>
        <w:t>202400</w:t>
      </w:r>
      <w:r>
        <w:rPr>
          <w:rFonts w:hint="eastAsia" w:ascii="Times New Roman" w:hAnsi="Times New Roman" w:eastAsia="仿宋_GB2312" w:cs="仿宋_GB2312"/>
          <w:kern w:val="0"/>
          <w:sz w:val="32"/>
          <w:szCs w:val="32"/>
          <w:lang w:val="zh-CN"/>
        </w:rPr>
        <w:t>万元，其中：一般债务限额</w:t>
      </w:r>
      <w:r>
        <w:rPr>
          <w:rFonts w:ascii="Times New Roman" w:hAnsi="Times New Roman" w:eastAsia="仿宋_GB2312" w:cs="Times New Roman"/>
          <w:kern w:val="0"/>
          <w:sz w:val="32"/>
          <w:szCs w:val="32"/>
          <w:lang w:val="zh-CN"/>
        </w:rPr>
        <w:t>14544</w:t>
      </w:r>
      <w:r>
        <w:rPr>
          <w:rFonts w:hint="eastAsia" w:ascii="Times New Roman" w:hAnsi="Times New Roman" w:eastAsia="仿宋_GB2312" w:cs="仿宋_GB2312"/>
          <w:kern w:val="0"/>
          <w:sz w:val="32"/>
          <w:szCs w:val="32"/>
          <w:lang w:val="zh-CN"/>
        </w:rPr>
        <w:t>万元，专项债务限额</w:t>
      </w:r>
      <w:r>
        <w:rPr>
          <w:rFonts w:ascii="Times New Roman" w:hAnsi="Times New Roman" w:eastAsia="仿宋_GB2312" w:cs="Times New Roman"/>
          <w:kern w:val="0"/>
          <w:sz w:val="32"/>
          <w:szCs w:val="32"/>
          <w:lang w:val="zh-CN"/>
        </w:rPr>
        <w:t>187856</w:t>
      </w:r>
      <w:r>
        <w:rPr>
          <w:rFonts w:hint="eastAsia" w:ascii="Times New Roman" w:hAnsi="Times New Roman" w:eastAsia="仿宋_GB2312" w:cs="仿宋_GB2312"/>
          <w:kern w:val="0"/>
          <w:sz w:val="32"/>
          <w:szCs w:val="32"/>
          <w:lang w:val="zh-CN"/>
        </w:rPr>
        <w:t>万元。实际发行新增债券</w:t>
      </w:r>
      <w:r>
        <w:rPr>
          <w:rFonts w:ascii="Times New Roman" w:hAnsi="Times New Roman" w:eastAsia="仿宋_GB2312" w:cs="Times New Roman"/>
          <w:kern w:val="0"/>
          <w:sz w:val="32"/>
          <w:szCs w:val="32"/>
          <w:lang w:val="zh-CN"/>
        </w:rPr>
        <w:t>202400</w:t>
      </w:r>
      <w:r>
        <w:rPr>
          <w:rFonts w:hint="eastAsia" w:ascii="Times New Roman" w:hAnsi="Times New Roman" w:eastAsia="仿宋_GB2312" w:cs="仿宋_GB2312"/>
          <w:kern w:val="0"/>
          <w:sz w:val="32"/>
          <w:szCs w:val="32"/>
          <w:lang w:val="zh-CN"/>
        </w:rPr>
        <w:t>万元（一般债券</w:t>
      </w:r>
      <w:r>
        <w:rPr>
          <w:rFonts w:ascii="Times New Roman" w:hAnsi="Times New Roman" w:eastAsia="仿宋_GB2312" w:cs="Times New Roman"/>
          <w:kern w:val="0"/>
          <w:sz w:val="32"/>
          <w:szCs w:val="32"/>
          <w:lang w:val="zh-CN"/>
        </w:rPr>
        <w:t>14544</w:t>
      </w:r>
      <w:r>
        <w:rPr>
          <w:rFonts w:hint="eastAsia" w:ascii="Times New Roman" w:hAnsi="Times New Roman" w:eastAsia="仿宋_GB2312" w:cs="仿宋_GB2312"/>
          <w:kern w:val="0"/>
          <w:sz w:val="32"/>
          <w:szCs w:val="32"/>
          <w:lang w:val="zh-CN"/>
        </w:rPr>
        <w:t>万元，专项债券</w:t>
      </w:r>
      <w:r>
        <w:rPr>
          <w:rFonts w:ascii="Times New Roman" w:hAnsi="Times New Roman" w:eastAsia="仿宋_GB2312" w:cs="Times New Roman"/>
          <w:kern w:val="0"/>
          <w:sz w:val="32"/>
          <w:szCs w:val="32"/>
          <w:lang w:val="zh-CN"/>
        </w:rPr>
        <w:t>187856</w:t>
      </w:r>
      <w:r>
        <w:rPr>
          <w:rFonts w:hint="eastAsia" w:ascii="Times New Roman" w:hAnsi="Times New Roman" w:eastAsia="仿宋_GB2312" w:cs="仿宋_GB2312"/>
          <w:kern w:val="0"/>
          <w:sz w:val="32"/>
          <w:szCs w:val="32"/>
          <w:lang w:val="zh-CN"/>
        </w:rPr>
        <w:t>万元），再融资债券转贷资金</w:t>
      </w:r>
      <w:r>
        <w:rPr>
          <w:rFonts w:ascii="Times New Roman" w:hAnsi="Times New Roman" w:eastAsia="仿宋_GB2312" w:cs="Times New Roman"/>
          <w:kern w:val="0"/>
          <w:sz w:val="32"/>
          <w:szCs w:val="32"/>
          <w:lang w:val="zh-CN"/>
        </w:rPr>
        <w:t>34673</w:t>
      </w:r>
      <w:r>
        <w:rPr>
          <w:rFonts w:hint="eastAsia" w:ascii="Times New Roman" w:hAnsi="Times New Roman" w:eastAsia="仿宋_GB2312" w:cs="仿宋_GB2312"/>
          <w:kern w:val="0"/>
          <w:sz w:val="32"/>
          <w:szCs w:val="32"/>
          <w:lang w:val="zh-CN"/>
        </w:rPr>
        <w:t>万元（一般债券</w:t>
      </w:r>
      <w:r>
        <w:rPr>
          <w:rFonts w:ascii="Times New Roman" w:hAnsi="Times New Roman" w:eastAsia="仿宋_GB2312" w:cs="Times New Roman"/>
          <w:kern w:val="0"/>
          <w:sz w:val="32"/>
          <w:szCs w:val="32"/>
          <w:lang w:val="zh-CN"/>
        </w:rPr>
        <w:t>16707</w:t>
      </w:r>
      <w:r>
        <w:rPr>
          <w:rFonts w:hint="eastAsia" w:ascii="Times New Roman" w:hAnsi="Times New Roman" w:eastAsia="仿宋_GB2312" w:cs="仿宋_GB2312"/>
          <w:kern w:val="0"/>
          <w:sz w:val="32"/>
          <w:szCs w:val="32"/>
          <w:lang w:val="zh-CN"/>
        </w:rPr>
        <w:t>万元，专项债券</w:t>
      </w:r>
      <w:r>
        <w:rPr>
          <w:rFonts w:ascii="Times New Roman" w:hAnsi="Times New Roman" w:eastAsia="仿宋_GB2312" w:cs="Times New Roman"/>
          <w:kern w:val="0"/>
          <w:sz w:val="32"/>
          <w:szCs w:val="32"/>
          <w:lang w:val="zh-CN"/>
        </w:rPr>
        <w:t>17968</w:t>
      </w:r>
      <w:r>
        <w:rPr>
          <w:rFonts w:hint="eastAsia" w:ascii="Times New Roman" w:hAnsi="Times New Roman" w:eastAsia="仿宋_GB2312" w:cs="仿宋_GB2312"/>
          <w:kern w:val="0"/>
          <w:sz w:val="32"/>
          <w:szCs w:val="32"/>
          <w:lang w:val="zh-CN"/>
        </w:rPr>
        <w:t>万元）。截至</w:t>
      </w:r>
      <w:r>
        <w:rPr>
          <w:rFonts w:ascii="Times New Roman" w:hAnsi="Times New Roman" w:eastAsia="仿宋_GB2312" w:cs="Times New Roman"/>
          <w:kern w:val="0"/>
          <w:sz w:val="32"/>
          <w:szCs w:val="32"/>
          <w:lang w:val="zh-CN"/>
        </w:rPr>
        <w:t>2022</w:t>
      </w:r>
      <w:r>
        <w:rPr>
          <w:rFonts w:hint="eastAsia" w:ascii="Times New Roman" w:hAnsi="Times New Roman" w:eastAsia="仿宋_GB2312" w:cs="仿宋_GB2312"/>
          <w:kern w:val="0"/>
          <w:sz w:val="32"/>
          <w:szCs w:val="32"/>
          <w:lang w:val="zh-CN"/>
        </w:rPr>
        <w:t>年底，全县政府债务余额</w:t>
      </w:r>
      <w:r>
        <w:rPr>
          <w:rFonts w:ascii="Times New Roman" w:hAnsi="Times New Roman" w:eastAsia="仿宋_GB2312" w:cs="Times New Roman"/>
          <w:kern w:val="0"/>
          <w:sz w:val="32"/>
          <w:szCs w:val="32"/>
          <w:lang w:val="zh-CN"/>
        </w:rPr>
        <w:t>819535</w:t>
      </w:r>
      <w:r>
        <w:rPr>
          <w:rFonts w:hint="eastAsia" w:ascii="Times New Roman" w:hAnsi="Times New Roman" w:eastAsia="仿宋_GB2312" w:cs="仿宋_GB2312"/>
          <w:kern w:val="0"/>
          <w:sz w:val="32"/>
          <w:szCs w:val="32"/>
          <w:lang w:val="zh-CN"/>
        </w:rPr>
        <w:t>万元（一般债务</w:t>
      </w:r>
      <w:r>
        <w:rPr>
          <w:rFonts w:ascii="Times New Roman" w:hAnsi="Times New Roman" w:eastAsia="仿宋_GB2312" w:cs="Times New Roman"/>
          <w:kern w:val="0"/>
          <w:sz w:val="32"/>
          <w:szCs w:val="32"/>
          <w:lang w:val="zh-CN"/>
        </w:rPr>
        <w:t>230320</w:t>
      </w:r>
      <w:r>
        <w:rPr>
          <w:rFonts w:hint="eastAsia" w:ascii="Times New Roman" w:hAnsi="Times New Roman" w:eastAsia="仿宋_GB2312" w:cs="仿宋_GB2312"/>
          <w:kern w:val="0"/>
          <w:sz w:val="32"/>
          <w:szCs w:val="32"/>
          <w:lang w:val="zh-CN"/>
        </w:rPr>
        <w:t>万元，专项债务</w:t>
      </w:r>
      <w:r>
        <w:rPr>
          <w:rFonts w:ascii="Times New Roman" w:hAnsi="Times New Roman" w:eastAsia="仿宋_GB2312" w:cs="Times New Roman"/>
          <w:kern w:val="0"/>
          <w:sz w:val="32"/>
          <w:szCs w:val="32"/>
          <w:lang w:val="zh-CN"/>
        </w:rPr>
        <w:t>589215</w:t>
      </w:r>
      <w:r>
        <w:rPr>
          <w:rFonts w:hint="eastAsia" w:ascii="Times New Roman" w:hAnsi="Times New Roman" w:eastAsia="仿宋_GB2312" w:cs="仿宋_GB2312"/>
          <w:kern w:val="0"/>
          <w:sz w:val="32"/>
          <w:szCs w:val="32"/>
          <w:lang w:val="zh-CN"/>
        </w:rPr>
        <w:t>万元），债务余额严格控制在上级核定的限额</w:t>
      </w:r>
      <w:r>
        <w:rPr>
          <w:rFonts w:ascii="Times New Roman" w:hAnsi="Times New Roman" w:eastAsia="仿宋_GB2312" w:cs="Times New Roman"/>
          <w:kern w:val="0"/>
          <w:sz w:val="32"/>
          <w:szCs w:val="32"/>
          <w:lang w:val="zh-CN"/>
        </w:rPr>
        <w:t>898551</w:t>
      </w:r>
      <w:r>
        <w:rPr>
          <w:rFonts w:hint="eastAsia" w:ascii="Times New Roman" w:hAnsi="Times New Roman" w:eastAsia="仿宋_GB2312" w:cs="仿宋_GB2312"/>
          <w:kern w:val="0"/>
          <w:sz w:val="32"/>
          <w:szCs w:val="32"/>
          <w:lang w:val="zh-CN"/>
        </w:rPr>
        <w:t>万元内。</w:t>
      </w:r>
    </w:p>
    <w:p w14:paraId="7EA83A40">
      <w:pPr>
        <w:spacing w:line="60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rPr>
        <w:t>四、预算绩效开展情况</w:t>
      </w:r>
    </w:p>
    <w:p w14:paraId="40452065">
      <w:pPr>
        <w:spacing w:line="600" w:lineRule="exact"/>
        <w:ind w:firstLine="640" w:firstLineChars="200"/>
        <w:rPr>
          <w:rFonts w:ascii="Times New Roman" w:hAnsi="Times New Roman" w:eastAsia="仿宋_GB2312" w:cs="Times New Roman"/>
          <w:kern w:val="0"/>
          <w:sz w:val="32"/>
          <w:szCs w:val="32"/>
          <w:lang w:val="zh-CN"/>
        </w:rPr>
      </w:pPr>
      <w:r>
        <w:rPr>
          <w:rFonts w:ascii="Times New Roman" w:hAnsi="Times New Roman" w:eastAsia="仿宋_GB2312" w:cs="Times New Roman"/>
          <w:kern w:val="0"/>
          <w:sz w:val="32"/>
          <w:szCs w:val="32"/>
          <w:lang w:val="zh-CN"/>
        </w:rPr>
        <w:t>2019</w:t>
      </w:r>
      <w:r>
        <w:rPr>
          <w:rFonts w:hint="eastAsia" w:ascii="Times New Roman" w:hAnsi="Times New Roman" w:eastAsia="仿宋_GB2312" w:cs="仿宋_GB2312"/>
          <w:kern w:val="0"/>
          <w:sz w:val="32"/>
          <w:szCs w:val="32"/>
          <w:lang w:val="zh-CN"/>
        </w:rPr>
        <w:t>年，我县出台了全面实施预算绩效管理的工作方案，按省、市工作</w:t>
      </w:r>
      <w:r>
        <w:rPr>
          <w:rFonts w:hint="eastAsia" w:ascii="Times New Roman" w:hAnsi="Times New Roman" w:eastAsia="仿宋_GB2312" w:cs="仿宋_GB2312"/>
          <w:kern w:val="0"/>
          <w:sz w:val="32"/>
          <w:szCs w:val="32"/>
          <w:lang w:val="zh-CN" w:eastAsia="zh-CN"/>
        </w:rPr>
        <w:t>部</w:t>
      </w:r>
      <w:bookmarkStart w:id="0" w:name="_GoBack"/>
      <w:bookmarkEnd w:id="0"/>
      <w:r>
        <w:rPr>
          <w:rFonts w:hint="eastAsia" w:ascii="Times New Roman" w:hAnsi="Times New Roman" w:eastAsia="仿宋_GB2312" w:cs="仿宋_GB2312"/>
          <w:kern w:val="0"/>
          <w:sz w:val="32"/>
          <w:szCs w:val="32"/>
          <w:lang w:val="zh-CN"/>
        </w:rPr>
        <w:t>署，</w:t>
      </w:r>
      <w:r>
        <w:rPr>
          <w:rFonts w:ascii="Times New Roman" w:hAnsi="Times New Roman" w:eastAsia="仿宋_GB2312" w:cs="Times New Roman"/>
          <w:kern w:val="0"/>
          <w:sz w:val="32"/>
          <w:szCs w:val="32"/>
          <w:lang w:val="zh-CN"/>
        </w:rPr>
        <w:t>2019</w:t>
      </w:r>
      <w:r>
        <w:rPr>
          <w:rFonts w:hint="eastAsia" w:ascii="Times New Roman" w:hAnsi="Times New Roman" w:eastAsia="仿宋_GB2312" w:cs="仿宋_GB2312"/>
          <w:kern w:val="0"/>
          <w:sz w:val="32"/>
          <w:szCs w:val="32"/>
          <w:lang w:val="zh-CN"/>
        </w:rPr>
        <w:t>、</w:t>
      </w:r>
      <w:r>
        <w:rPr>
          <w:rFonts w:ascii="Times New Roman" w:hAnsi="Times New Roman" w:eastAsia="仿宋_GB2312" w:cs="Times New Roman"/>
          <w:kern w:val="0"/>
          <w:sz w:val="32"/>
          <w:szCs w:val="32"/>
          <w:lang w:val="zh-CN"/>
        </w:rPr>
        <w:t>2020</w:t>
      </w:r>
      <w:r>
        <w:rPr>
          <w:rFonts w:hint="eastAsia" w:ascii="Times New Roman" w:hAnsi="Times New Roman" w:eastAsia="仿宋_GB2312" w:cs="仿宋_GB2312"/>
          <w:kern w:val="0"/>
          <w:sz w:val="32"/>
          <w:szCs w:val="32"/>
          <w:lang w:val="zh-CN"/>
        </w:rPr>
        <w:t>年分别启动县直部门、乡（镇）全面实施预算绩效管理工作，</w:t>
      </w:r>
      <w:r>
        <w:rPr>
          <w:rFonts w:ascii="Times New Roman" w:hAnsi="Times New Roman" w:eastAsia="仿宋_GB2312" w:cs="Times New Roman"/>
          <w:kern w:val="0"/>
          <w:sz w:val="32"/>
          <w:szCs w:val="32"/>
          <w:lang w:val="zh-CN"/>
        </w:rPr>
        <w:t>2022</w:t>
      </w:r>
      <w:r>
        <w:rPr>
          <w:rFonts w:hint="eastAsia" w:ascii="Times New Roman" w:hAnsi="Times New Roman" w:eastAsia="仿宋_GB2312" w:cs="仿宋_GB2312"/>
          <w:kern w:val="0"/>
          <w:sz w:val="32"/>
          <w:szCs w:val="32"/>
          <w:lang w:val="zh-CN"/>
        </w:rPr>
        <w:t>年，我县较好的完成了省市工作要求、任务，在提高预算管理水平和政策实施效果等方面取得明显成效。当前，面对全方位推动高质量发展超越的主题，围绕财政管理要向高质量发展方向转变的要求和</w:t>
      </w:r>
      <w:r>
        <w:rPr>
          <w:rFonts w:ascii="Times New Roman" w:hAnsi="Times New Roman" w:eastAsia="仿宋_GB2312" w:cs="Times New Roman"/>
          <w:kern w:val="0"/>
          <w:sz w:val="32"/>
          <w:szCs w:val="32"/>
          <w:lang w:val="zh-CN"/>
        </w:rPr>
        <w:t>2022</w:t>
      </w:r>
      <w:r>
        <w:rPr>
          <w:rFonts w:hint="eastAsia" w:ascii="Times New Roman" w:hAnsi="Times New Roman" w:eastAsia="仿宋_GB2312" w:cs="仿宋_GB2312"/>
          <w:kern w:val="0"/>
          <w:sz w:val="32"/>
          <w:szCs w:val="32"/>
          <w:lang w:val="zh-CN"/>
        </w:rPr>
        <w:t>年基本建成全方位、全过程、全覆盖的预算绩效管理体系的目标，针对管理工作中存在的短板，推进我县预算绩效管理提质升级。</w:t>
      </w:r>
    </w:p>
    <w:p w14:paraId="3E2B4776">
      <w:pPr>
        <w:spacing w:line="600"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楷体_GB2312"/>
          <w:b/>
          <w:bCs/>
          <w:sz w:val="32"/>
          <w:szCs w:val="32"/>
        </w:rPr>
        <w:t>（一）提升站位，落实责任</w:t>
      </w:r>
    </w:p>
    <w:p w14:paraId="457D543E">
      <w:pPr>
        <w:spacing w:line="600" w:lineRule="exact"/>
        <w:ind w:firstLine="643" w:firstLineChars="200"/>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 xml:space="preserve">1. </w:t>
      </w:r>
      <w:r>
        <w:rPr>
          <w:rFonts w:hint="eastAsia" w:ascii="Times New Roman" w:hAnsi="Times New Roman" w:eastAsia="仿宋_GB2312" w:cs="仿宋_GB2312"/>
          <w:b/>
          <w:bCs/>
          <w:kern w:val="0"/>
          <w:sz w:val="32"/>
          <w:szCs w:val="32"/>
        </w:rPr>
        <w:t>提升了部门（乡镇）的绩效理念和意识</w:t>
      </w:r>
    </w:p>
    <w:p w14:paraId="0C5E70A4">
      <w:pPr>
        <w:spacing w:line="600" w:lineRule="exact"/>
        <w:ind w:firstLine="640" w:firstLineChars="200"/>
        <w:rPr>
          <w:rFonts w:ascii="Times New Roman" w:hAnsi="Times New Roman" w:eastAsia="仿宋_GB2312" w:cs="Times New Roman"/>
          <w:kern w:val="0"/>
          <w:sz w:val="32"/>
          <w:szCs w:val="32"/>
          <w:lang w:val="zh-CN"/>
        </w:rPr>
      </w:pPr>
      <w:r>
        <w:rPr>
          <w:rFonts w:hint="eastAsia" w:ascii="Times New Roman" w:hAnsi="Times New Roman" w:eastAsia="仿宋_GB2312" w:cs="仿宋_GB2312"/>
          <w:kern w:val="0"/>
          <w:sz w:val="32"/>
          <w:szCs w:val="32"/>
          <w:lang w:val="zh-CN"/>
        </w:rPr>
        <w:t>按《连城县人民政府办公室关于贯彻落实龙岩市全面实施预算绩效管理工作的实施意见》要求，县各一级预算单位（乡镇）均成立全面实施预算绩效管理领导小组，明确部门（乡镇）是预算绩效管理的责任主体，建立主要负责人对本乡（镇）、部门预算绩效负责，项目责任人对项目预算绩效负责，对重大项目的责任人实行绩效终身责任追究制的管理机制。</w:t>
      </w:r>
    </w:p>
    <w:p w14:paraId="2F10A87B">
      <w:pPr>
        <w:spacing w:line="600" w:lineRule="exact"/>
        <w:ind w:firstLine="643" w:firstLineChars="200"/>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 xml:space="preserve">2. </w:t>
      </w:r>
      <w:r>
        <w:rPr>
          <w:rFonts w:hint="eastAsia" w:ascii="Times New Roman" w:hAnsi="Times New Roman" w:eastAsia="仿宋_GB2312" w:cs="仿宋_GB2312"/>
          <w:b/>
          <w:bCs/>
          <w:kern w:val="0"/>
          <w:sz w:val="32"/>
          <w:szCs w:val="32"/>
        </w:rPr>
        <w:t>完善预算绩效管理工作考核。</w:t>
      </w:r>
    </w:p>
    <w:p w14:paraId="710E8487">
      <w:pPr>
        <w:spacing w:line="600" w:lineRule="exact"/>
        <w:ind w:firstLine="640" w:firstLineChars="200"/>
        <w:rPr>
          <w:rFonts w:ascii="Times New Roman" w:hAnsi="Times New Roman" w:eastAsia="仿宋_GB2312" w:cs="Times New Roman"/>
          <w:kern w:val="0"/>
          <w:sz w:val="32"/>
          <w:szCs w:val="32"/>
          <w:lang w:val="zh-CN"/>
        </w:rPr>
      </w:pPr>
      <w:r>
        <w:rPr>
          <w:rFonts w:hint="eastAsia" w:ascii="Times New Roman" w:hAnsi="Times New Roman" w:eastAsia="仿宋_GB2312" w:cs="仿宋_GB2312"/>
          <w:kern w:val="0"/>
          <w:sz w:val="32"/>
          <w:szCs w:val="32"/>
          <w:lang w:val="zh-CN"/>
        </w:rPr>
        <w:t>根据上级财政部署和市级推进工作实际，按县委巡办安排，依据预算绩效管理责任清单，加强对被巡察单位进行专项巡察；加强《预算绩效管理工作考核细则》，完善县直部门和乡（镇）预算绩效管理工作考核体系。</w:t>
      </w:r>
    </w:p>
    <w:p w14:paraId="3F83C2CE">
      <w:pPr>
        <w:spacing w:line="600"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楷体_GB2312"/>
          <w:b/>
          <w:bCs/>
          <w:sz w:val="32"/>
          <w:szCs w:val="32"/>
        </w:rPr>
        <w:t>（二）基本构建了预算绩效</w:t>
      </w:r>
      <w:r>
        <w:rPr>
          <w:rFonts w:ascii="楷体_GB2312" w:hAnsi="Times New Roman" w:eastAsia="楷体_GB2312" w:cs="Times New Roman"/>
          <w:b/>
          <w:bCs/>
          <w:sz w:val="32"/>
          <w:szCs w:val="32"/>
        </w:rPr>
        <w:t>“</w:t>
      </w:r>
      <w:r>
        <w:rPr>
          <w:rFonts w:hint="eastAsia" w:ascii="楷体_GB2312" w:hAnsi="Times New Roman" w:eastAsia="楷体_GB2312" w:cs="楷体_GB2312"/>
          <w:b/>
          <w:bCs/>
          <w:sz w:val="32"/>
          <w:szCs w:val="32"/>
        </w:rPr>
        <w:t>三全</w:t>
      </w:r>
      <w:r>
        <w:rPr>
          <w:rFonts w:ascii="楷体_GB2312" w:hAnsi="Times New Roman" w:eastAsia="楷体_GB2312" w:cs="Times New Roman"/>
          <w:b/>
          <w:bCs/>
          <w:sz w:val="32"/>
          <w:szCs w:val="32"/>
        </w:rPr>
        <w:t>”</w:t>
      </w:r>
      <w:r>
        <w:rPr>
          <w:rFonts w:hint="eastAsia" w:ascii="楷体_GB2312" w:hAnsi="Times New Roman" w:eastAsia="楷体_GB2312" w:cs="楷体_GB2312"/>
          <w:b/>
          <w:bCs/>
          <w:sz w:val="32"/>
          <w:szCs w:val="32"/>
        </w:rPr>
        <w:t>管理体系</w:t>
      </w:r>
    </w:p>
    <w:p w14:paraId="7A2EDD83">
      <w:pPr>
        <w:spacing w:line="600" w:lineRule="exact"/>
        <w:ind w:firstLine="640" w:firstLineChars="200"/>
        <w:rPr>
          <w:rFonts w:ascii="Times New Roman" w:hAnsi="Times New Roman" w:eastAsia="仿宋_GB2312" w:cs="Times New Roman"/>
          <w:kern w:val="0"/>
          <w:sz w:val="32"/>
          <w:szCs w:val="32"/>
          <w:lang w:val="zh-CN"/>
        </w:rPr>
      </w:pPr>
      <w:r>
        <w:rPr>
          <w:rFonts w:hint="eastAsia" w:ascii="Times New Roman" w:hAnsi="Times New Roman" w:eastAsia="仿宋_GB2312" w:cs="仿宋_GB2312"/>
          <w:kern w:val="0"/>
          <w:sz w:val="32"/>
          <w:szCs w:val="32"/>
          <w:lang w:val="zh-CN"/>
        </w:rPr>
        <w:t>制订了《连城县部门预算绩效目标管理办法》《连城县预算绩效运行监控管理办法》《连城县县级财政支出事前绩效评估管理办法》《连城县财政局预算绩效管理工作规程》《连城县财政局预算绩效管理内部控制操作规程》等制度办法，确保全过程预算绩效管理各环节工作有章可循、规范有序；基本构建了县乡（镇）两级预算绩效管理的管理链条，基本搭建了一套较为实用的评价工作框架和流程，管理涵盖四本预算，基本覆盖了县本级财政资金，为今后全面实施预算绩效管理工作的质量推进奠定了坚实的基础。一是实施事前绩效评估管理。对所有的政府债券资金进行事前绩效评估管理。二是全面开展整体支出绩效管理。对一级预算单位、乡（镇）的县级预算安排的所有支出，进行整体支出绩效目标申报、监控、自评管理。三是深化专项支出绩效管理。对一级预算单位、乡（镇）的县级预算安排的专项支出，进行绩效目标申报、双监控、自评管理。部门和乡镇绩效目标编制未细化、量化，绩效目标偏离党委、政府发展战略和年度重点任务的，以及重要性和紧迫性不强、实施条件不充分的，不予安排预算；绩效目标交叉重复、不合理的，要求部门整改，或者不安排预算。</w:t>
      </w:r>
      <w:r>
        <w:rPr>
          <w:rFonts w:hint="eastAsia" w:ascii="Times New Roman" w:hAnsi="Times New Roman" w:eastAsia="仿宋_GB2312" w:cs="仿宋_GB2312"/>
          <w:b/>
          <w:bCs/>
          <w:sz w:val="32"/>
          <w:szCs w:val="32"/>
        </w:rPr>
        <w:t>四是加强绩效自评督导和抽查复核。</w:t>
      </w:r>
      <w:r>
        <w:rPr>
          <w:rFonts w:hint="eastAsia" w:ascii="Times New Roman" w:hAnsi="Times New Roman" w:eastAsia="仿宋_GB2312" w:cs="仿宋_GB2312"/>
          <w:kern w:val="0"/>
          <w:sz w:val="32"/>
          <w:szCs w:val="32"/>
          <w:lang w:val="zh-CN"/>
        </w:rPr>
        <w:t>将绩效自评结果与部门预算安排挂钩。督促各部门（一级预算单位）在组织部门本级和所属单位全面开展绩效自评工作。财政部门应建立绩效自评抽查机制，对部门（单位）评价结果进行抽查复核，督促部门充分应用自评和评价结果，项目抽查复核得分与单位自评得分相差</w:t>
      </w:r>
      <w:r>
        <w:rPr>
          <w:rFonts w:ascii="Times New Roman" w:hAnsi="Times New Roman" w:eastAsia="仿宋_GB2312" w:cs="Times New Roman"/>
          <w:kern w:val="0"/>
          <w:sz w:val="32"/>
          <w:szCs w:val="32"/>
          <w:lang w:val="zh-CN"/>
        </w:rPr>
        <w:t>10%</w:t>
      </w:r>
      <w:r>
        <w:rPr>
          <w:rFonts w:hint="eastAsia" w:ascii="Times New Roman" w:hAnsi="Times New Roman" w:eastAsia="仿宋_GB2312" w:cs="仿宋_GB2312"/>
          <w:kern w:val="0"/>
          <w:sz w:val="32"/>
          <w:szCs w:val="32"/>
          <w:lang w:val="zh-CN"/>
        </w:rPr>
        <w:t>（含）以上，或者项目执行进度滞缓、绩效目标实现程度较低的，适当压减或取消下一年度预算规模。</w:t>
      </w:r>
      <w:r>
        <w:rPr>
          <w:rFonts w:hint="eastAsia" w:ascii="Times New Roman" w:hAnsi="Times New Roman" w:eastAsia="仿宋_GB2312" w:cs="仿宋_GB2312"/>
          <w:b/>
          <w:bCs/>
          <w:sz w:val="32"/>
          <w:szCs w:val="32"/>
        </w:rPr>
        <w:t>五是提高重点绩效评价质量。</w:t>
      </w:r>
      <w:r>
        <w:rPr>
          <w:rFonts w:hint="eastAsia" w:ascii="Times New Roman" w:hAnsi="Times New Roman" w:eastAsia="仿宋_GB2312" w:cs="仿宋_GB2312"/>
          <w:sz w:val="32"/>
          <w:szCs w:val="32"/>
        </w:rPr>
        <w:t>将</w:t>
      </w:r>
      <w:r>
        <w:rPr>
          <w:rFonts w:hint="eastAsia" w:ascii="Times New Roman" w:hAnsi="Times New Roman" w:eastAsia="仿宋_GB2312" w:cs="仿宋_GB2312"/>
          <w:kern w:val="0"/>
          <w:sz w:val="32"/>
          <w:szCs w:val="32"/>
          <w:lang w:val="zh-CN"/>
        </w:rPr>
        <w:t>重点绩效评价结果与财政预算安排挂钩。组织筛选</w:t>
      </w:r>
      <w:r>
        <w:rPr>
          <w:rFonts w:ascii="Times New Roman" w:hAnsi="Times New Roman" w:eastAsia="仿宋_GB2312" w:cs="Times New Roman"/>
          <w:kern w:val="0"/>
          <w:sz w:val="32"/>
          <w:szCs w:val="32"/>
          <w:lang w:val="zh-CN"/>
        </w:rPr>
        <w:t>5</w:t>
      </w:r>
      <w:r>
        <w:rPr>
          <w:rFonts w:hint="eastAsia" w:ascii="Times New Roman" w:hAnsi="Times New Roman" w:eastAsia="仿宋_GB2312" w:cs="仿宋_GB2312"/>
          <w:kern w:val="0"/>
          <w:sz w:val="32"/>
          <w:szCs w:val="32"/>
          <w:lang w:val="zh-CN"/>
        </w:rPr>
        <w:t>个社会关注度高、资金量大、资金沉淀量多、审计监督或绩效监控发现问题较多、政策执行到期或即将到期、资金使用方向雷同或相似以及政策重叠的项目资金，进行重点解剖问效。对财政绩效评价等级为</w:t>
      </w:r>
      <w:r>
        <w:rPr>
          <w:rFonts w:ascii="Times New Roman" w:hAnsi="Times New Roman" w:eastAsia="仿宋_GB2312" w:cs="Times New Roman"/>
          <w:kern w:val="0"/>
          <w:sz w:val="32"/>
          <w:szCs w:val="32"/>
          <w:lang w:val="zh-CN"/>
        </w:rPr>
        <w:t>“</w:t>
      </w:r>
      <w:r>
        <w:rPr>
          <w:rFonts w:hint="eastAsia" w:ascii="Times New Roman" w:hAnsi="Times New Roman" w:eastAsia="仿宋_GB2312" w:cs="仿宋_GB2312"/>
          <w:kern w:val="0"/>
          <w:sz w:val="32"/>
          <w:szCs w:val="32"/>
          <w:lang w:val="zh-CN"/>
        </w:rPr>
        <w:t>中</w:t>
      </w:r>
      <w:r>
        <w:rPr>
          <w:rFonts w:ascii="Times New Roman" w:hAnsi="Times New Roman" w:eastAsia="仿宋_GB2312" w:cs="Times New Roman"/>
          <w:kern w:val="0"/>
          <w:sz w:val="32"/>
          <w:szCs w:val="32"/>
          <w:lang w:val="zh-CN"/>
        </w:rPr>
        <w:t>”</w:t>
      </w:r>
      <w:r>
        <w:rPr>
          <w:rFonts w:hint="eastAsia" w:ascii="Times New Roman" w:hAnsi="Times New Roman" w:eastAsia="仿宋_GB2312" w:cs="仿宋_GB2312"/>
          <w:kern w:val="0"/>
          <w:sz w:val="32"/>
          <w:szCs w:val="32"/>
          <w:lang w:val="zh-CN"/>
        </w:rPr>
        <w:t>及整改不到位的，完善政策、改进管理，并根据情况适当调减预算；评价等级为</w:t>
      </w:r>
      <w:r>
        <w:rPr>
          <w:rFonts w:ascii="Times New Roman" w:hAnsi="Times New Roman" w:eastAsia="仿宋_GB2312" w:cs="Times New Roman"/>
          <w:kern w:val="0"/>
          <w:sz w:val="32"/>
          <w:szCs w:val="32"/>
          <w:lang w:val="zh-CN"/>
        </w:rPr>
        <w:t>“</w:t>
      </w:r>
      <w:r>
        <w:rPr>
          <w:rFonts w:hint="eastAsia" w:ascii="Times New Roman" w:hAnsi="Times New Roman" w:eastAsia="仿宋_GB2312" w:cs="仿宋_GB2312"/>
          <w:kern w:val="0"/>
          <w:sz w:val="32"/>
          <w:szCs w:val="32"/>
          <w:lang w:val="zh-CN"/>
        </w:rPr>
        <w:t>差</w:t>
      </w:r>
      <w:r>
        <w:rPr>
          <w:rFonts w:ascii="Times New Roman" w:hAnsi="Times New Roman" w:eastAsia="仿宋_GB2312" w:cs="Times New Roman"/>
          <w:kern w:val="0"/>
          <w:sz w:val="32"/>
          <w:szCs w:val="32"/>
          <w:lang w:val="zh-CN"/>
        </w:rPr>
        <w:t>”</w:t>
      </w:r>
      <w:r>
        <w:rPr>
          <w:rFonts w:hint="eastAsia" w:ascii="Times New Roman" w:hAnsi="Times New Roman" w:eastAsia="仿宋_GB2312" w:cs="仿宋_GB2312"/>
          <w:kern w:val="0"/>
          <w:sz w:val="32"/>
          <w:szCs w:val="32"/>
          <w:lang w:val="zh-CN"/>
        </w:rPr>
        <w:t>的，完善政策、改进管理，原则上不再安排预算。</w:t>
      </w:r>
      <w:r>
        <w:rPr>
          <w:rFonts w:hint="eastAsia" w:ascii="Times New Roman" w:hAnsi="Times New Roman" w:eastAsia="仿宋_GB2312" w:cs="仿宋_GB2312"/>
          <w:b/>
          <w:bCs/>
          <w:sz w:val="32"/>
          <w:szCs w:val="32"/>
        </w:rPr>
        <w:t>六是加大绩效信息公开力度。</w:t>
      </w:r>
      <w:r>
        <w:rPr>
          <w:rFonts w:hint="eastAsia" w:ascii="Times New Roman" w:hAnsi="Times New Roman" w:eastAsia="仿宋_GB2312" w:cs="仿宋_GB2312"/>
          <w:kern w:val="0"/>
          <w:sz w:val="32"/>
          <w:szCs w:val="32"/>
          <w:lang w:val="zh-CN"/>
        </w:rPr>
        <w:t>一是向主动向本级人大报告绩效目标信息和评价结果；二是除涉密外，</w:t>
      </w:r>
      <w:r>
        <w:rPr>
          <w:rFonts w:ascii="Times New Roman" w:hAnsi="Times New Roman" w:eastAsia="仿宋_GB2312" w:cs="Times New Roman"/>
          <w:kern w:val="0"/>
          <w:sz w:val="32"/>
          <w:szCs w:val="32"/>
          <w:lang w:val="zh-CN"/>
        </w:rPr>
        <w:t>2022</w:t>
      </w:r>
      <w:r>
        <w:rPr>
          <w:rFonts w:hint="eastAsia" w:ascii="Times New Roman" w:hAnsi="Times New Roman" w:eastAsia="仿宋_GB2312" w:cs="仿宋_GB2312"/>
          <w:kern w:val="0"/>
          <w:sz w:val="32"/>
          <w:szCs w:val="32"/>
          <w:lang w:val="zh-CN"/>
        </w:rPr>
        <w:t>预算绩效目标、</w:t>
      </w:r>
      <w:r>
        <w:rPr>
          <w:rFonts w:ascii="Times New Roman" w:hAnsi="Times New Roman" w:eastAsia="仿宋_GB2312" w:cs="Times New Roman"/>
          <w:kern w:val="0"/>
          <w:sz w:val="32"/>
          <w:szCs w:val="32"/>
          <w:lang w:val="zh-CN"/>
        </w:rPr>
        <w:t>2021</w:t>
      </w:r>
      <w:r>
        <w:rPr>
          <w:rFonts w:hint="eastAsia" w:ascii="Times New Roman" w:hAnsi="Times New Roman" w:eastAsia="仿宋_GB2312" w:cs="仿宋_GB2312"/>
          <w:kern w:val="0"/>
          <w:sz w:val="32"/>
          <w:szCs w:val="32"/>
          <w:lang w:val="zh-CN"/>
        </w:rPr>
        <w:t>算绩效自评结果与预决算同步社会公开。通过人大和社会各界监督，促使部门和单位从</w:t>
      </w:r>
      <w:r>
        <w:rPr>
          <w:rFonts w:ascii="Times New Roman" w:hAnsi="Times New Roman" w:eastAsia="仿宋_GB2312" w:cs="Times New Roman"/>
          <w:kern w:val="0"/>
          <w:sz w:val="32"/>
          <w:szCs w:val="32"/>
          <w:lang w:val="zh-CN"/>
        </w:rPr>
        <w:t>“</w:t>
      </w:r>
      <w:r>
        <w:rPr>
          <w:rFonts w:hint="eastAsia" w:ascii="Times New Roman" w:hAnsi="Times New Roman" w:eastAsia="仿宋_GB2312" w:cs="仿宋_GB2312"/>
          <w:kern w:val="0"/>
          <w:sz w:val="32"/>
          <w:szCs w:val="32"/>
          <w:lang w:val="zh-CN"/>
        </w:rPr>
        <w:t>要我有绩效</w:t>
      </w:r>
      <w:r>
        <w:rPr>
          <w:rFonts w:ascii="Times New Roman" w:hAnsi="Times New Roman" w:eastAsia="仿宋_GB2312" w:cs="Times New Roman"/>
          <w:kern w:val="0"/>
          <w:sz w:val="32"/>
          <w:szCs w:val="32"/>
          <w:lang w:val="zh-CN"/>
        </w:rPr>
        <w:t>”</w:t>
      </w:r>
      <w:r>
        <w:rPr>
          <w:rFonts w:hint="eastAsia" w:ascii="Times New Roman" w:hAnsi="Times New Roman" w:eastAsia="仿宋_GB2312" w:cs="仿宋_GB2312"/>
          <w:kern w:val="0"/>
          <w:sz w:val="32"/>
          <w:szCs w:val="32"/>
          <w:lang w:val="zh-CN"/>
        </w:rPr>
        <w:t>向</w:t>
      </w:r>
      <w:r>
        <w:rPr>
          <w:rFonts w:ascii="Times New Roman" w:hAnsi="Times New Roman" w:eastAsia="仿宋_GB2312" w:cs="Times New Roman"/>
          <w:kern w:val="0"/>
          <w:sz w:val="32"/>
          <w:szCs w:val="32"/>
          <w:lang w:val="zh-CN"/>
        </w:rPr>
        <w:t>“</w:t>
      </w:r>
      <w:r>
        <w:rPr>
          <w:rFonts w:hint="eastAsia" w:ascii="Times New Roman" w:hAnsi="Times New Roman" w:eastAsia="仿宋_GB2312" w:cs="仿宋_GB2312"/>
          <w:kern w:val="0"/>
          <w:sz w:val="32"/>
          <w:szCs w:val="32"/>
          <w:lang w:val="zh-CN"/>
        </w:rPr>
        <w:t>我要有绩效</w:t>
      </w:r>
      <w:r>
        <w:rPr>
          <w:rFonts w:ascii="Times New Roman" w:hAnsi="Times New Roman" w:eastAsia="仿宋_GB2312" w:cs="Times New Roman"/>
          <w:kern w:val="0"/>
          <w:sz w:val="32"/>
          <w:szCs w:val="32"/>
          <w:lang w:val="zh-CN"/>
        </w:rPr>
        <w:t>”</w:t>
      </w:r>
      <w:r>
        <w:rPr>
          <w:rFonts w:hint="eastAsia" w:ascii="Times New Roman" w:hAnsi="Times New Roman" w:eastAsia="仿宋_GB2312" w:cs="仿宋_GB2312"/>
          <w:kern w:val="0"/>
          <w:sz w:val="32"/>
          <w:szCs w:val="32"/>
          <w:lang w:val="zh-CN"/>
        </w:rPr>
        <w:t>转变。</w:t>
      </w:r>
    </w:p>
    <w:p w14:paraId="7E81B21E">
      <w:pPr>
        <w:spacing w:line="600" w:lineRule="exact"/>
        <w:ind w:firstLine="643" w:firstLineChars="200"/>
        <w:rPr>
          <w:rFonts w:ascii="Times New Roman" w:hAnsi="Times New Roman" w:eastAsia="仿宋_GB2312" w:cs="Times New Roman"/>
          <w:b/>
          <w:bCs/>
          <w:kern w:val="0"/>
          <w:sz w:val="32"/>
          <w:szCs w:val="32"/>
        </w:rPr>
      </w:pPr>
      <w:r>
        <w:rPr>
          <w:rFonts w:hint="eastAsia" w:ascii="楷体_GB2312" w:hAnsi="Times New Roman" w:eastAsia="楷体_GB2312" w:cs="楷体_GB2312"/>
          <w:b/>
          <w:bCs/>
          <w:sz w:val="32"/>
          <w:szCs w:val="32"/>
        </w:rPr>
        <w:t>（三）提升了财政资金使用效益和政府服务水平</w:t>
      </w:r>
    </w:p>
    <w:p w14:paraId="64B439FF">
      <w:pPr>
        <w:spacing w:line="600" w:lineRule="exact"/>
        <w:ind w:firstLine="641"/>
        <w:rPr>
          <w:rFonts w:ascii="Times New Roman" w:hAnsi="Times New Roman" w:eastAsia="仿宋_GB2312" w:cs="Times New Roman"/>
          <w:kern w:val="0"/>
          <w:sz w:val="32"/>
          <w:szCs w:val="32"/>
          <w:lang w:val="zh-CN"/>
        </w:rPr>
      </w:pPr>
      <w:r>
        <w:rPr>
          <w:rFonts w:hint="eastAsia" w:ascii="Times New Roman" w:hAnsi="Times New Roman" w:eastAsia="仿宋_GB2312" w:cs="仿宋_GB2312"/>
          <w:kern w:val="0"/>
          <w:sz w:val="32"/>
          <w:szCs w:val="32"/>
          <w:lang w:val="zh-CN"/>
        </w:rPr>
        <w:t>经过几年的摸索，立足预算绩效管理的有效性和有用性，不断探索加强结果应用，在提升财政资金使用效益和政府服务水平方面起到了积极的作用。</w:t>
      </w:r>
      <w:r>
        <w:rPr>
          <w:rFonts w:hint="eastAsia" w:ascii="Times New Roman" w:hAnsi="Times New Roman" w:eastAsia="仿宋_GB2312" w:cs="仿宋_GB2312"/>
          <w:b/>
          <w:bCs/>
          <w:sz w:val="32"/>
          <w:szCs w:val="32"/>
        </w:rPr>
        <w:t>一是提升了预算编制的规范性。</w:t>
      </w:r>
      <w:r>
        <w:rPr>
          <w:rFonts w:hint="eastAsia" w:ascii="Times New Roman" w:hAnsi="Times New Roman" w:eastAsia="仿宋_GB2312" w:cs="仿宋_GB2312"/>
          <w:kern w:val="0"/>
          <w:sz w:val="32"/>
          <w:szCs w:val="32"/>
          <w:lang w:val="zh-CN"/>
        </w:rPr>
        <w:t>通过探索绩效管理结果应用机制，逐步减少了财政资金预算编制的随意性和盲目性，在一定程度上促进了资源整合，优化了支出结构；</w:t>
      </w:r>
      <w:r>
        <w:rPr>
          <w:rFonts w:hint="eastAsia" w:ascii="Times New Roman" w:hAnsi="Times New Roman" w:eastAsia="仿宋_GB2312" w:cs="仿宋_GB2312"/>
          <w:b/>
          <w:bCs/>
          <w:sz w:val="32"/>
          <w:szCs w:val="32"/>
        </w:rPr>
        <w:t>二是提升了财政资金的使用效益。</w:t>
      </w:r>
      <w:r>
        <w:rPr>
          <w:rFonts w:hint="eastAsia" w:ascii="Times New Roman" w:hAnsi="Times New Roman" w:eastAsia="仿宋_GB2312" w:cs="仿宋_GB2312"/>
          <w:sz w:val="32"/>
          <w:szCs w:val="32"/>
        </w:rPr>
        <w:t>通</w:t>
      </w:r>
      <w:r>
        <w:rPr>
          <w:rFonts w:hint="eastAsia" w:ascii="Times New Roman" w:hAnsi="Times New Roman" w:eastAsia="仿宋_GB2312" w:cs="仿宋_GB2312"/>
          <w:kern w:val="0"/>
          <w:sz w:val="32"/>
          <w:szCs w:val="32"/>
          <w:lang w:val="zh-CN"/>
        </w:rPr>
        <w:t>过绩效评价结果反馈整改机制，将绩效评价结果反馈被评价单位并督促其整改落实、将评价结果和预算安排有机结合，将有限的资金用在刀刃上，避免了资金浪费，控制了无效支出，缓解了收支矛盾，提高了使用效益。</w:t>
      </w:r>
      <w:r>
        <w:rPr>
          <w:rFonts w:hint="eastAsia" w:ascii="Times New Roman" w:hAnsi="Times New Roman" w:eastAsia="仿宋_GB2312" w:cs="仿宋_GB2312"/>
          <w:b/>
          <w:bCs/>
          <w:sz w:val="32"/>
          <w:szCs w:val="32"/>
        </w:rPr>
        <w:t>三是提升了政府的服务水平。</w:t>
      </w:r>
      <w:r>
        <w:rPr>
          <w:rFonts w:hint="eastAsia" w:ascii="Times New Roman" w:hAnsi="Times New Roman" w:eastAsia="仿宋_GB2312" w:cs="仿宋_GB2312"/>
          <w:sz w:val="32"/>
          <w:szCs w:val="32"/>
        </w:rPr>
        <w:t>通</w:t>
      </w:r>
      <w:r>
        <w:rPr>
          <w:rFonts w:hint="eastAsia" w:ascii="Times New Roman" w:hAnsi="Times New Roman" w:eastAsia="仿宋_GB2312" w:cs="仿宋_GB2312"/>
          <w:kern w:val="0"/>
          <w:sz w:val="32"/>
          <w:szCs w:val="32"/>
          <w:lang w:val="zh-CN"/>
        </w:rPr>
        <w:t>过将绩效评价结果向政府报告，在一定范围内采取一定方式予以公布，既为政府决策提供了依据，又加强了对政府活动的监督，真正体现服务政府和责任政府的要求，促进各部门行政效率和服务水平的提升，推进了高效、透明政府的建设。</w:t>
      </w:r>
    </w:p>
    <w:p w14:paraId="38B81A40">
      <w:pPr>
        <w:spacing w:line="600" w:lineRule="exact"/>
        <w:ind w:firstLine="640" w:firstLineChars="200"/>
        <w:rPr>
          <w:rFonts w:ascii="Times New Roman" w:hAnsi="Times New Roman" w:eastAsia="仿宋_GB2312" w:cs="Times New Roman"/>
          <w:sz w:val="32"/>
          <w:szCs w:val="32"/>
        </w:rPr>
      </w:pPr>
    </w:p>
    <w:p w14:paraId="04191102">
      <w:pPr>
        <w:spacing w:line="600" w:lineRule="exact"/>
        <w:ind w:firstLine="640" w:firstLineChars="200"/>
        <w:rPr>
          <w:rFonts w:ascii="Times New Roman" w:hAnsi="Times New Roman" w:eastAsia="仿宋_GB2312" w:cs="Times New Roman"/>
          <w:kern w:val="0"/>
          <w:sz w:val="32"/>
          <w:szCs w:val="32"/>
        </w:rPr>
      </w:pPr>
    </w:p>
    <w:sectPr>
      <w:footerReference r:id="rId3" w:type="default"/>
      <w:pgSz w:w="11906" w:h="16838"/>
      <w:pgMar w:top="170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FD10C">
    <w:pPr>
      <w:pStyle w:val="3"/>
      <w:rPr>
        <w:rFonts w:cs="Times New Roman"/>
      </w:rP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14:paraId="4465FA82">
                <w:pPr>
                  <w:snapToGrid w:val="0"/>
                  <w:rPr>
                    <w:rFonts w:cs="Times New Roman"/>
                    <w:sz w:val="18"/>
                    <w:szCs w:val="18"/>
                  </w:rPr>
                </w:pPr>
                <w:r>
                  <w:fldChar w:fldCharType="begin"/>
                </w:r>
                <w:r>
                  <w:instrText xml:space="preserve"> PAGE  \* MERGEFORMAT </w:instrText>
                </w:r>
                <w:r>
                  <w:fldChar w:fldCharType="separate"/>
                </w:r>
                <w:r>
                  <w:rPr>
                    <w:sz w:val="18"/>
                    <w:szCs w:val="18"/>
                  </w:rPr>
                  <w:t>1</w:t>
                </w:r>
                <w:r>
                  <w:rPr>
                    <w:sz w:val="18"/>
                    <w:szCs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3740"/>
    <w:rsid w:val="00011B79"/>
    <w:rsid w:val="000204A3"/>
    <w:rsid w:val="00034A4C"/>
    <w:rsid w:val="00057A3C"/>
    <w:rsid w:val="00064ED6"/>
    <w:rsid w:val="000A4D1F"/>
    <w:rsid w:val="000B46AB"/>
    <w:rsid w:val="000F5DDA"/>
    <w:rsid w:val="000F716D"/>
    <w:rsid w:val="00102DF0"/>
    <w:rsid w:val="001406C4"/>
    <w:rsid w:val="00172A27"/>
    <w:rsid w:val="001A7FD7"/>
    <w:rsid w:val="001B590F"/>
    <w:rsid w:val="001D016C"/>
    <w:rsid w:val="001F3A0E"/>
    <w:rsid w:val="001F7FA8"/>
    <w:rsid w:val="00214EAA"/>
    <w:rsid w:val="002411BA"/>
    <w:rsid w:val="00274A28"/>
    <w:rsid w:val="002C70FC"/>
    <w:rsid w:val="00313891"/>
    <w:rsid w:val="003236FA"/>
    <w:rsid w:val="00375811"/>
    <w:rsid w:val="00375B3E"/>
    <w:rsid w:val="0041486E"/>
    <w:rsid w:val="004317C8"/>
    <w:rsid w:val="00455923"/>
    <w:rsid w:val="004E2EF9"/>
    <w:rsid w:val="0054724C"/>
    <w:rsid w:val="005775D9"/>
    <w:rsid w:val="00580AD9"/>
    <w:rsid w:val="005B0B47"/>
    <w:rsid w:val="005D12B2"/>
    <w:rsid w:val="005E0796"/>
    <w:rsid w:val="00651375"/>
    <w:rsid w:val="006D321B"/>
    <w:rsid w:val="006E21A0"/>
    <w:rsid w:val="006E2FCE"/>
    <w:rsid w:val="007723B3"/>
    <w:rsid w:val="007A0B3E"/>
    <w:rsid w:val="007A5578"/>
    <w:rsid w:val="007B0B82"/>
    <w:rsid w:val="007B7B0E"/>
    <w:rsid w:val="008270B1"/>
    <w:rsid w:val="008A2245"/>
    <w:rsid w:val="008A3101"/>
    <w:rsid w:val="00916418"/>
    <w:rsid w:val="009B3A3B"/>
    <w:rsid w:val="009C555E"/>
    <w:rsid w:val="009D34A6"/>
    <w:rsid w:val="00A138DA"/>
    <w:rsid w:val="00A74648"/>
    <w:rsid w:val="00A77A0F"/>
    <w:rsid w:val="00A84FEF"/>
    <w:rsid w:val="00AA0635"/>
    <w:rsid w:val="00AB51D1"/>
    <w:rsid w:val="00B03E7C"/>
    <w:rsid w:val="00B351AA"/>
    <w:rsid w:val="00BC2471"/>
    <w:rsid w:val="00C64253"/>
    <w:rsid w:val="00C90D45"/>
    <w:rsid w:val="00CA7A29"/>
    <w:rsid w:val="00D2795D"/>
    <w:rsid w:val="00D35A3A"/>
    <w:rsid w:val="00D51D8D"/>
    <w:rsid w:val="00D57973"/>
    <w:rsid w:val="00D71E8E"/>
    <w:rsid w:val="00D905AB"/>
    <w:rsid w:val="00D95C91"/>
    <w:rsid w:val="00E13E18"/>
    <w:rsid w:val="00E35AC9"/>
    <w:rsid w:val="00E469B6"/>
    <w:rsid w:val="00E55473"/>
    <w:rsid w:val="00E858A9"/>
    <w:rsid w:val="00E96FCB"/>
    <w:rsid w:val="00EE575F"/>
    <w:rsid w:val="00EF1883"/>
    <w:rsid w:val="00F21562"/>
    <w:rsid w:val="00F849A8"/>
    <w:rsid w:val="00FC6FDA"/>
    <w:rsid w:val="0598413A"/>
    <w:rsid w:val="0A114100"/>
    <w:rsid w:val="0C736C04"/>
    <w:rsid w:val="0D00762C"/>
    <w:rsid w:val="0E0B7C2B"/>
    <w:rsid w:val="1B305D20"/>
    <w:rsid w:val="30814147"/>
    <w:rsid w:val="3188213C"/>
    <w:rsid w:val="31C96384"/>
    <w:rsid w:val="3AC12AAD"/>
    <w:rsid w:val="54510AF3"/>
    <w:rsid w:val="570A3A04"/>
    <w:rsid w:val="59E4052A"/>
    <w:rsid w:val="5AEA7695"/>
    <w:rsid w:val="5E082CF6"/>
    <w:rsid w:val="6C8A5C38"/>
    <w:rsid w:val="6DFB044F"/>
    <w:rsid w:val="7722257B"/>
    <w:rsid w:val="7B0F541D"/>
    <w:rsid w:val="7E580E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8"/>
    <w:qFormat/>
    <w:uiPriority w:val="99"/>
    <w:pPr>
      <w:keepNext/>
      <w:keepLines/>
      <w:spacing w:line="576"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99"/>
    <w:rPr>
      <w:b/>
      <w:bCs/>
    </w:rPr>
  </w:style>
  <w:style w:type="character" w:customStyle="1" w:styleId="8">
    <w:name w:val="标题 1 字符"/>
    <w:basedOn w:val="6"/>
    <w:link w:val="2"/>
    <w:qFormat/>
    <w:uiPriority w:val="9"/>
    <w:rPr>
      <w:rFonts w:cs="Calibri"/>
      <w:b/>
      <w:bCs/>
      <w:kern w:val="44"/>
      <w:sz w:val="44"/>
      <w:szCs w:val="44"/>
    </w:rPr>
  </w:style>
  <w:style w:type="character" w:customStyle="1" w:styleId="9">
    <w:name w:val="页脚 字符"/>
    <w:basedOn w:val="6"/>
    <w:link w:val="3"/>
    <w:qFormat/>
    <w:locked/>
    <w:uiPriority w:val="99"/>
    <w:rPr>
      <w:sz w:val="18"/>
      <w:szCs w:val="18"/>
    </w:rPr>
  </w:style>
  <w:style w:type="character" w:customStyle="1" w:styleId="10">
    <w:name w:val="页眉 字符"/>
    <w:basedOn w:val="6"/>
    <w:link w:val="4"/>
    <w:locked/>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3234</Words>
  <Characters>3566</Characters>
  <Lines>25</Lines>
  <Paragraphs>7</Paragraphs>
  <TotalTime>2831</TotalTime>
  <ScaleCrop>false</ScaleCrop>
  <LinksUpToDate>false</LinksUpToDate>
  <CharactersWithSpaces>3568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赖炜鑫</cp:lastModifiedBy>
  <cp:lastPrinted>2023-01-17T06:43:00Z</cp:lastPrinted>
  <dcterms:modified xsi:type="dcterms:W3CDTF">2024-12-04T08:32:05Z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A168DDE6EC0D4A2D995CACDC3AE92192_12</vt:lpwstr>
  </property>
</Properties>
</file>