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rPr>
          <w:rFonts w:hint="eastAsia" w:eastAsiaTheme="minorEastAsia"/>
          <w:b w:val="0"/>
          <w:sz w:val="30"/>
          <w:szCs w:val="30"/>
          <w:lang w:eastAsia="zh-CN"/>
        </w:rPr>
      </w:pPr>
      <w:r>
        <w:rPr>
          <w:rFonts w:hint="eastAsia"/>
          <w:b w:val="0"/>
          <w:sz w:val="30"/>
          <w:szCs w:val="30"/>
        </w:rPr>
        <w:t>附</w:t>
      </w:r>
      <w:r>
        <w:rPr>
          <w:rFonts w:hint="eastAsia"/>
          <w:b w:val="0"/>
          <w:sz w:val="30"/>
          <w:szCs w:val="30"/>
          <w:lang w:eastAsia="zh-CN"/>
        </w:rPr>
        <w:t>件</w:t>
      </w:r>
      <w:r>
        <w:rPr>
          <w:rFonts w:hint="eastAsia"/>
          <w:b w:val="0"/>
          <w:sz w:val="30"/>
          <w:szCs w:val="30"/>
          <w:lang w:val="en-US" w:eastAsia="zh-CN"/>
        </w:rPr>
        <w:t>2</w:t>
      </w:r>
    </w:p>
    <w:p>
      <w:pPr>
        <w:snapToGri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2024</w:t>
      </w:r>
      <w:r>
        <w:rPr>
          <w:rFonts w:hint="eastAsia" w:ascii="方正小标宋简体" w:eastAsia="方正小标宋简体"/>
          <w:sz w:val="44"/>
          <w:szCs w:val="44"/>
        </w:rPr>
        <w:t>年度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连城县</w:t>
      </w:r>
      <w:r>
        <w:rPr>
          <w:rFonts w:hint="eastAsia" w:ascii="方正小标宋简体" w:eastAsia="方正小标宋简体"/>
          <w:sz w:val="44"/>
          <w:szCs w:val="44"/>
        </w:rPr>
        <w:t>政府预算</w:t>
      </w:r>
    </w:p>
    <w:p>
      <w:pPr>
        <w:snapToGrid w:val="0"/>
        <w:spacing w:after="312" w:afterLines="10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相关重要事项说明</w:t>
      </w:r>
    </w:p>
    <w:p>
      <w:pPr>
        <w:spacing w:line="60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kern w:val="0"/>
          <w:sz w:val="32"/>
          <w:szCs w:val="32"/>
        </w:rPr>
        <w:t>连城县本级支出预算说明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年度连城县本级一般公共预算支出数为 280618万元，比202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年度预算数增加3716万元，增长1.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%。具体情况如下：</w:t>
      </w:r>
    </w:p>
    <w:p>
      <w:pPr>
        <w:numPr>
          <w:numId w:val="0"/>
        </w:numPr>
        <w:spacing w:line="600" w:lineRule="exact"/>
        <w:ind w:firstLine="616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Cs/>
          <w:snapToGrid w:val="0"/>
          <w:spacing w:val="-6"/>
          <w:kern w:val="0"/>
          <w:sz w:val="32"/>
          <w:szCs w:val="32"/>
          <w:lang w:val="en-US" w:eastAsia="zh-CN" w:bidi="ar-SA"/>
        </w:rPr>
        <w:t>（一）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一般公共服务支出 24604万元，较上年预算数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1724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降低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6.55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%。主要原因是养老保险、医疗保险、公积金等调整至相应科目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。</w:t>
      </w:r>
    </w:p>
    <w:p>
      <w:pPr>
        <w:numPr>
          <w:numId w:val="0"/>
        </w:numPr>
        <w:spacing w:line="600" w:lineRule="exact"/>
        <w:ind w:firstLine="616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napToGrid w:val="0"/>
          <w:spacing w:val="-6"/>
          <w:kern w:val="0"/>
          <w:sz w:val="32"/>
          <w:szCs w:val="32"/>
          <w:lang w:val="en-US" w:eastAsia="zh-CN" w:bidi="ar-SA"/>
        </w:rPr>
        <w:t>（二）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国防支出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289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万元，较上年预算数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降低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3.65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%。</w:t>
      </w:r>
    </w:p>
    <w:p>
      <w:pPr>
        <w:spacing w:line="600" w:lineRule="exact"/>
        <w:ind w:firstLine="616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lightGray"/>
          <w:lang w:eastAsia="zh-CN"/>
        </w:rPr>
      </w:pPr>
      <w:r>
        <w:rPr>
          <w:rFonts w:hint="default" w:ascii="楷体_GB2312" w:hAnsi="楷体_GB2312" w:eastAsia="楷体_GB2312" w:cs="楷体_GB2312"/>
          <w:bCs/>
          <w:snapToGrid w:val="0"/>
          <w:spacing w:val="-6"/>
          <w:kern w:val="0"/>
          <w:sz w:val="32"/>
          <w:szCs w:val="32"/>
          <w:lang w:val="en-US" w:eastAsia="zh-CN" w:bidi="ar-SA"/>
        </w:rPr>
        <w:t>（三）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公共安全支出9538万元，较上年预算数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185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 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降低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16.27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%。主要原因是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压减一般性支出。</w:t>
      </w:r>
    </w:p>
    <w:p>
      <w:pPr>
        <w:spacing w:line="600" w:lineRule="exact"/>
        <w:ind w:firstLine="616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楷体_GB2312" w:hAnsi="楷体_GB2312" w:eastAsia="楷体_GB2312" w:cs="楷体_GB2312"/>
          <w:bCs/>
          <w:snapToGrid w:val="0"/>
          <w:spacing w:val="-6"/>
          <w:kern w:val="0"/>
          <w:sz w:val="32"/>
          <w:szCs w:val="32"/>
          <w:lang w:val="en-US" w:eastAsia="zh-CN" w:bidi="ar-SA"/>
        </w:rPr>
        <w:t>（四）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教育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支出747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万元，较上年预算数增加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1362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万元，增长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1.85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%。主要原因是上级提前下达转移支付资金及人员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经费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增加等。</w:t>
      </w:r>
    </w:p>
    <w:p>
      <w:pPr>
        <w:spacing w:line="600" w:lineRule="exact"/>
        <w:ind w:firstLine="616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lightGray"/>
        </w:rPr>
      </w:pPr>
      <w:r>
        <w:rPr>
          <w:rFonts w:hint="default" w:ascii="楷体_GB2312" w:hAnsi="楷体_GB2312" w:eastAsia="楷体_GB2312" w:cs="楷体_GB2312"/>
          <w:bCs/>
          <w:snapToGrid w:val="0"/>
          <w:spacing w:val="-6"/>
          <w:kern w:val="0"/>
          <w:sz w:val="32"/>
          <w:szCs w:val="32"/>
          <w:lang w:val="en-US" w:eastAsia="zh-CN" w:bidi="ar-SA"/>
        </w:rPr>
        <w:t>（五）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科学技术支出5866万元，较上年预算数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1260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降低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17.68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%。主要原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因是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惠企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资金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。</w:t>
      </w:r>
    </w:p>
    <w:p>
      <w:pPr>
        <w:spacing w:line="600" w:lineRule="exact"/>
        <w:ind w:firstLine="616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楷体_GB2312" w:hAnsi="楷体_GB2312" w:eastAsia="楷体_GB2312" w:cs="楷体_GB2312"/>
          <w:bCs/>
          <w:snapToGrid w:val="0"/>
          <w:spacing w:val="-6"/>
          <w:kern w:val="0"/>
          <w:sz w:val="32"/>
          <w:szCs w:val="32"/>
          <w:lang w:val="en-US" w:eastAsia="zh-CN" w:bidi="ar-SA"/>
        </w:rPr>
        <w:t>（六）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文化旅游体育与传媒支出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4821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万元，较上年预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429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9.77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%。主要原因是国家文物保护资金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。</w:t>
      </w:r>
    </w:p>
    <w:p>
      <w:pPr>
        <w:spacing w:line="600" w:lineRule="exact"/>
        <w:ind w:firstLine="616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楷体_GB2312" w:hAnsi="楷体_GB2312" w:eastAsia="楷体_GB2312" w:cs="楷体_GB2312"/>
          <w:bCs/>
          <w:snapToGrid w:val="0"/>
          <w:spacing w:val="-6"/>
          <w:kern w:val="0"/>
          <w:sz w:val="32"/>
          <w:szCs w:val="32"/>
          <w:lang w:val="en-US" w:eastAsia="zh-CN" w:bidi="ar-SA"/>
        </w:rPr>
        <w:t>（七）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社会保障和就业支出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41688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万元，较上年预算数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万元，增长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0.5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%。主要原因是离退休人员工资及退休人员支出、城乡居民基本养老保险基金的补助等增加。</w:t>
      </w:r>
    </w:p>
    <w:p>
      <w:pPr>
        <w:spacing w:line="600" w:lineRule="exact"/>
        <w:ind w:firstLine="616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楷体_GB2312" w:hAnsi="楷体_GB2312" w:eastAsia="楷体_GB2312" w:cs="楷体_GB2312"/>
          <w:bCs/>
          <w:snapToGrid w:val="0"/>
          <w:spacing w:val="-6"/>
          <w:kern w:val="0"/>
          <w:sz w:val="32"/>
          <w:szCs w:val="32"/>
          <w:lang w:val="en-US" w:eastAsia="zh-CN" w:bidi="ar-SA"/>
        </w:rPr>
        <w:t>（八）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卫生健康支出18101万元，较上年预算数增加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838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万元，增长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4.85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%。主要原因是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机关事业单位人员医疗保险支出科目调整增加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</w:t>
      </w:r>
    </w:p>
    <w:p>
      <w:pPr>
        <w:spacing w:line="600" w:lineRule="exact"/>
        <w:ind w:firstLine="616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楷体_GB2312" w:hAnsi="楷体_GB2312" w:eastAsia="楷体_GB2312" w:cs="楷体_GB2312"/>
          <w:bCs/>
          <w:snapToGrid w:val="0"/>
          <w:spacing w:val="-6"/>
          <w:kern w:val="0"/>
          <w:sz w:val="32"/>
          <w:szCs w:val="32"/>
          <w:lang w:val="en-US" w:eastAsia="zh-CN" w:bidi="ar-SA"/>
        </w:rPr>
        <w:t>（九）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节能环保支出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8596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万元，较上年预算数增加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870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增长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11.26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主要原因是PPP乡镇污水处理设施回购增支。</w:t>
      </w:r>
    </w:p>
    <w:p>
      <w:pPr>
        <w:spacing w:line="600" w:lineRule="exact"/>
        <w:ind w:firstLine="616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楷体_GB2312" w:hAnsi="楷体_GB2312" w:eastAsia="楷体_GB2312" w:cs="楷体_GB2312"/>
          <w:bCs/>
          <w:snapToGrid w:val="0"/>
          <w:spacing w:val="-6"/>
          <w:kern w:val="0"/>
          <w:sz w:val="32"/>
          <w:szCs w:val="32"/>
          <w:lang w:val="en-US" w:eastAsia="zh-CN" w:bidi="ar-SA"/>
        </w:rPr>
        <w:t>（十）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城乡社区支出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16383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万元，较上年预算数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761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降低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4.44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%。主要原因是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坚持“过紧日子”，压减一般性支出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</w:t>
      </w:r>
    </w:p>
    <w:p>
      <w:pPr>
        <w:spacing w:line="600" w:lineRule="exact"/>
        <w:ind w:firstLine="616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</w:pPr>
      <w:r>
        <w:rPr>
          <w:rFonts w:hint="default" w:ascii="楷体_GB2312" w:hAnsi="楷体_GB2312" w:eastAsia="楷体_GB2312" w:cs="楷体_GB2312"/>
          <w:bCs/>
          <w:snapToGrid w:val="0"/>
          <w:spacing w:val="-6"/>
          <w:kern w:val="0"/>
          <w:sz w:val="32"/>
          <w:szCs w:val="32"/>
          <w:lang w:val="en-US" w:eastAsia="zh-CN" w:bidi="ar-SA"/>
        </w:rPr>
        <w:t>（十一）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农林水支出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14542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万元，较上年预算数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3397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降低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18.94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%。主要原因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上级提前下达的转移支付资金减少。</w:t>
      </w:r>
    </w:p>
    <w:p>
      <w:pPr>
        <w:spacing w:line="600" w:lineRule="exact"/>
        <w:ind w:firstLine="616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楷体_GB2312" w:hAnsi="楷体_GB2312" w:eastAsia="楷体_GB2312" w:cs="楷体_GB2312"/>
          <w:bCs/>
          <w:snapToGrid w:val="0"/>
          <w:spacing w:val="-6"/>
          <w:kern w:val="0"/>
          <w:sz w:val="32"/>
          <w:szCs w:val="32"/>
          <w:lang w:val="en-US" w:eastAsia="zh-CN" w:bidi="ar-SA"/>
        </w:rPr>
        <w:t>（十二）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交通运输支出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2098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万元，较上年预算数增加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1065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万元，增长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103.1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%。主要原因是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公路养护支出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、公共交通运营补助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增加。</w:t>
      </w:r>
    </w:p>
    <w:p>
      <w:pPr>
        <w:spacing w:line="600" w:lineRule="exact"/>
        <w:ind w:firstLine="616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</w:pPr>
      <w:r>
        <w:rPr>
          <w:rFonts w:hint="default" w:ascii="楷体_GB2312" w:hAnsi="楷体_GB2312" w:eastAsia="楷体_GB2312" w:cs="楷体_GB2312"/>
          <w:bCs/>
          <w:snapToGrid w:val="0"/>
          <w:spacing w:val="-6"/>
          <w:kern w:val="0"/>
          <w:sz w:val="32"/>
          <w:szCs w:val="32"/>
          <w:lang w:val="en-US" w:eastAsia="zh-CN" w:bidi="ar-SA"/>
        </w:rPr>
        <w:t>（十三）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商业服务业支出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282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万元，较上年预算数增加8万元，增长2.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92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%。主要原因是主要原因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是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人员经费增加。</w:t>
      </w:r>
    </w:p>
    <w:p>
      <w:pPr>
        <w:spacing w:line="600" w:lineRule="exact"/>
        <w:ind w:firstLine="616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楷体_GB2312" w:hAnsi="楷体_GB2312" w:eastAsia="楷体_GB2312" w:cs="楷体_GB2312"/>
          <w:bCs/>
          <w:snapToGrid w:val="0"/>
          <w:spacing w:val="-6"/>
          <w:kern w:val="0"/>
          <w:sz w:val="32"/>
          <w:szCs w:val="32"/>
          <w:lang w:val="en-US" w:eastAsia="zh-CN" w:bidi="ar-SA"/>
        </w:rPr>
        <w:t>（十四）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自然资源海洋气象支出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2153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万元，较上年预算数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增长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0.33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%。主要原因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是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人员经费增加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。</w:t>
      </w:r>
    </w:p>
    <w:p>
      <w:pPr>
        <w:spacing w:line="600" w:lineRule="exact"/>
        <w:ind w:firstLine="616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楷体_GB2312" w:hAnsi="楷体_GB2312" w:eastAsia="楷体_GB2312" w:cs="楷体_GB2312"/>
          <w:bCs/>
          <w:snapToGrid w:val="0"/>
          <w:spacing w:val="-6"/>
          <w:kern w:val="0"/>
          <w:sz w:val="32"/>
          <w:szCs w:val="32"/>
          <w:lang w:val="en-US" w:eastAsia="zh-CN" w:bidi="ar-SA"/>
        </w:rPr>
        <w:t>（十五）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住房保障支出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1900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万元，较上年预算数增加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1900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增长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%。主要原因是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机关事业单位人员公积金支出科目调整增支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</w:t>
      </w:r>
    </w:p>
    <w:p>
      <w:pPr>
        <w:spacing w:line="600" w:lineRule="exact"/>
        <w:ind w:firstLine="616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楷体_GB2312" w:hAnsi="楷体_GB2312" w:eastAsia="楷体_GB2312" w:cs="楷体_GB2312"/>
          <w:bCs/>
          <w:snapToGrid w:val="0"/>
          <w:spacing w:val="-6"/>
          <w:kern w:val="0"/>
          <w:sz w:val="32"/>
          <w:szCs w:val="32"/>
          <w:lang w:val="en-US" w:eastAsia="zh-CN" w:bidi="ar-SA"/>
        </w:rPr>
        <w:t>（十六）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粮油物资储备支出4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万元，较上年预算数增加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180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万元，增长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77.92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%。主要原因是人员经费增加。</w:t>
      </w:r>
    </w:p>
    <w:p>
      <w:pPr>
        <w:spacing w:line="600" w:lineRule="exact"/>
        <w:ind w:firstLine="616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楷体_GB2312" w:hAnsi="楷体_GB2312" w:eastAsia="楷体_GB2312" w:cs="楷体_GB2312"/>
          <w:bCs/>
          <w:snapToGrid w:val="0"/>
          <w:spacing w:val="-6"/>
          <w:kern w:val="0"/>
          <w:sz w:val="32"/>
          <w:szCs w:val="32"/>
          <w:lang w:val="en-US" w:eastAsia="zh-CN" w:bidi="ar-SA"/>
        </w:rPr>
        <w:t>（十七）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灾害防治及应急管理支出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2413.97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万元，较上年预算数增加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210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万元，增长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9.53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%。主要原因是消防救援及应急物资经费增加。</w:t>
      </w:r>
    </w:p>
    <w:p>
      <w:pPr>
        <w:spacing w:line="600" w:lineRule="exact"/>
        <w:ind w:firstLine="616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楷体_GB2312" w:hAnsi="楷体_GB2312" w:eastAsia="楷体_GB2312" w:cs="楷体_GB2312"/>
          <w:bCs/>
          <w:snapToGrid w:val="0"/>
          <w:spacing w:val="-6"/>
          <w:kern w:val="0"/>
          <w:sz w:val="32"/>
          <w:szCs w:val="32"/>
          <w:lang w:val="en-US" w:eastAsia="zh-CN" w:bidi="ar-SA"/>
        </w:rPr>
        <w:t>（十八）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预备费支出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4782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万元，较上年预算数增加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519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万元，增长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12.17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%。主要原因是根据《预算法》规定安排，按202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年本级预算支出数的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%安排。</w:t>
      </w:r>
    </w:p>
    <w:p>
      <w:pPr>
        <w:spacing w:line="600" w:lineRule="exact"/>
        <w:ind w:firstLine="616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楷体_GB2312" w:hAnsi="楷体_GB2312" w:eastAsia="楷体_GB2312" w:cs="楷体_GB2312"/>
          <w:bCs/>
          <w:snapToGrid w:val="0"/>
          <w:spacing w:val="-6"/>
          <w:kern w:val="0"/>
          <w:sz w:val="32"/>
          <w:szCs w:val="32"/>
          <w:lang w:val="en-US" w:eastAsia="zh-CN" w:bidi="ar-SA"/>
        </w:rPr>
        <w:t>（</w:t>
      </w:r>
      <w:r>
        <w:rPr>
          <w:rFonts w:hint="eastAsia" w:ascii="楷体_GB2312" w:hAnsi="楷体_GB2312" w:eastAsia="楷体_GB2312" w:cs="楷体_GB2312"/>
          <w:bCs/>
          <w:snapToGrid w:val="0"/>
          <w:spacing w:val="-6"/>
          <w:kern w:val="0"/>
          <w:sz w:val="32"/>
          <w:szCs w:val="32"/>
          <w:lang w:val="en-US" w:eastAsia="zh-CN" w:bidi="ar-SA"/>
        </w:rPr>
        <w:t>十九</w:t>
      </w:r>
      <w:r>
        <w:rPr>
          <w:rFonts w:hint="default" w:ascii="楷体_GB2312" w:hAnsi="楷体_GB2312" w:eastAsia="楷体_GB2312" w:cs="楷体_GB2312"/>
          <w:bCs/>
          <w:snapToGrid w:val="0"/>
          <w:spacing w:val="-6"/>
          <w:kern w:val="0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其他支出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11675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万元，较上年预算数增加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2211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万元，增长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23.36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%，主要是年初预留资金增加。</w:t>
      </w:r>
    </w:p>
    <w:p>
      <w:pPr>
        <w:spacing w:line="600" w:lineRule="exact"/>
        <w:ind w:firstLine="616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楷体_GB2312" w:hAnsi="楷体_GB2312" w:eastAsia="楷体_GB2312" w:cs="楷体_GB2312"/>
          <w:bCs/>
          <w:snapToGrid w:val="0"/>
          <w:spacing w:val="-6"/>
          <w:kern w:val="0"/>
          <w:sz w:val="32"/>
          <w:szCs w:val="32"/>
          <w:lang w:val="en-US" w:eastAsia="zh-CN" w:bidi="ar-SA"/>
        </w:rPr>
        <w:t>（二十）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债务付息支出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6946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万元，较上年预算数增加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703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万元，增长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11.26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%。</w:t>
      </w:r>
    </w:p>
    <w:p>
      <w:pPr>
        <w:spacing w:line="60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二、财政转移支付安排情况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度连城县对下税收返还和转移支付预算数为0万元。未安排对下转移支付主要原因是：本县所辖乡镇作为一级预算部门管理，未单独编制政府预算，为此未有一般公共预算对下税收返还和转移支付预算数据。具体情况如下：</w:t>
      </w:r>
    </w:p>
    <w:p>
      <w:pPr>
        <w:pStyle w:val="10"/>
        <w:spacing w:line="600" w:lineRule="exact"/>
        <w:ind w:firstLine="616" w:firstLineChars="200"/>
        <w:rPr>
          <w:rFonts w:hint="default" w:ascii="楷体_GB2312" w:hAnsi="楷体_GB2312" w:eastAsia="楷体_GB2312" w:cs="楷体_GB2312"/>
          <w:bCs/>
          <w:spacing w:val="-6"/>
          <w:szCs w:val="32"/>
        </w:rPr>
      </w:pPr>
      <w:r>
        <w:rPr>
          <w:rFonts w:hint="default" w:ascii="楷体_GB2312" w:hAnsi="楷体_GB2312" w:eastAsia="楷体_GB2312" w:cs="楷体_GB2312"/>
          <w:bCs/>
          <w:spacing w:val="-6"/>
          <w:szCs w:val="32"/>
        </w:rPr>
        <w:t>（一）一般性转移支付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年度连城县对下一般转移支付预算数为0万元。</w:t>
      </w:r>
    </w:p>
    <w:p>
      <w:pPr>
        <w:pStyle w:val="10"/>
        <w:spacing w:line="600" w:lineRule="exact"/>
        <w:ind w:firstLine="616" w:firstLineChars="200"/>
        <w:rPr>
          <w:rFonts w:hint="default" w:ascii="楷体_GB2312" w:hAnsi="楷体_GB2312" w:eastAsia="楷体_GB2312" w:cs="楷体_GB2312"/>
          <w:bCs/>
          <w:spacing w:val="-6"/>
          <w:szCs w:val="32"/>
        </w:rPr>
      </w:pPr>
      <w:r>
        <w:rPr>
          <w:rFonts w:hint="default" w:ascii="楷体_GB2312" w:hAnsi="楷体_GB2312" w:eastAsia="楷体_GB2312" w:cs="楷体_GB2312"/>
          <w:bCs/>
          <w:spacing w:val="-6"/>
          <w:szCs w:val="32"/>
        </w:rPr>
        <w:t>（二）专项转移支付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年度连城县对下专项转移支付预算数为0万元。</w:t>
      </w:r>
    </w:p>
    <w:p>
      <w:pPr>
        <w:pStyle w:val="10"/>
        <w:spacing w:line="600" w:lineRule="exact"/>
        <w:ind w:firstLine="616" w:firstLineChars="200"/>
        <w:rPr>
          <w:rFonts w:hint="default" w:ascii="楷体_GB2312" w:hAnsi="楷体_GB2312" w:eastAsia="楷体_GB2312" w:cs="楷体_GB2312"/>
          <w:bCs/>
          <w:spacing w:val="-6"/>
          <w:szCs w:val="32"/>
        </w:rPr>
      </w:pPr>
      <w:r>
        <w:rPr>
          <w:rFonts w:hint="default" w:ascii="楷体_GB2312" w:hAnsi="楷体_GB2312" w:eastAsia="楷体_GB2312" w:cs="楷体_GB2312"/>
          <w:bCs/>
          <w:spacing w:val="-6"/>
          <w:szCs w:val="32"/>
        </w:rPr>
        <w:t>（三）税收返还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年度连城县对下税收返还预算数为0万元。</w:t>
      </w:r>
    </w:p>
    <w:p>
      <w:pPr>
        <w:spacing w:line="600" w:lineRule="exact"/>
        <w:ind w:firstLine="640" w:firstLineChars="200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三、举借政府债务情况</w:t>
      </w:r>
    </w:p>
    <w:p>
      <w:pPr>
        <w:pStyle w:val="10"/>
        <w:spacing w:line="600" w:lineRule="exact"/>
        <w:ind w:firstLine="616" w:firstLineChars="200"/>
        <w:rPr>
          <w:rFonts w:hint="eastAsia" w:ascii="楷体_GB2312" w:hAnsi="楷体_GB2312" w:eastAsia="楷体_GB2312" w:cs="楷体_GB2312"/>
          <w:bCs/>
          <w:spacing w:val="-6"/>
          <w:szCs w:val="32"/>
        </w:rPr>
      </w:pPr>
      <w:r>
        <w:rPr>
          <w:rFonts w:hint="eastAsia" w:ascii="楷体_GB2312" w:hAnsi="楷体_GB2312" w:eastAsia="楷体_GB2312" w:cs="楷体_GB2312"/>
          <w:bCs/>
          <w:spacing w:val="-6"/>
          <w:szCs w:val="32"/>
        </w:rPr>
        <w:t>（一）政府债务规模情况</w:t>
      </w:r>
    </w:p>
    <w:p>
      <w:pPr>
        <w:spacing w:line="600" w:lineRule="exact"/>
        <w:ind w:firstLine="640" w:firstLineChars="200"/>
        <w:textAlignment w:val="center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年，省财政核定我县政府债务限额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91.81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亿元，其中，一般债务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27.82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亿元，专项债务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63.99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亿元。截至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年末，全县政府债务余额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87.99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亿元，其中：一般债务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亿元、专项债务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62.99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亿元，严格控制在核定的限额之内。</w:t>
      </w:r>
    </w:p>
    <w:p>
      <w:pPr>
        <w:pStyle w:val="10"/>
        <w:spacing w:line="600" w:lineRule="exact"/>
        <w:ind w:firstLineChars="200"/>
        <w:rPr>
          <w:rFonts w:hint="default" w:ascii="Times New Roman" w:hAnsi="Times New Roman" w:eastAsia="仿宋_GB2312" w:cs="Times New Roman"/>
          <w:bCs/>
          <w:spacing w:val="-6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Cs w:val="32"/>
        </w:rPr>
        <w:t>本级政府债务限额91.81亿元，其中，一般债务27.82亿元，专项债务63.99亿元。截至2023年末，全县政府债务余额87.99亿元，其中：一般债务25亿元、专项债务62.99亿元，严格控制在核定的限额之内。</w:t>
      </w:r>
    </w:p>
    <w:p>
      <w:pPr>
        <w:pStyle w:val="10"/>
        <w:spacing w:line="600" w:lineRule="exact"/>
        <w:ind w:firstLine="616" w:firstLineChars="200"/>
        <w:rPr>
          <w:rFonts w:hint="default" w:ascii="楷体_GB2312" w:hAnsi="楷体_GB2312" w:eastAsia="楷体_GB2312" w:cs="楷体_GB2312"/>
          <w:bCs/>
          <w:spacing w:val="-6"/>
          <w:szCs w:val="32"/>
        </w:rPr>
      </w:pPr>
      <w:r>
        <w:rPr>
          <w:rFonts w:hint="default" w:ascii="楷体_GB2312" w:hAnsi="楷体_GB2312" w:eastAsia="楷体_GB2312" w:cs="楷体_GB2312"/>
          <w:bCs/>
          <w:spacing w:val="-6"/>
          <w:szCs w:val="32"/>
        </w:rPr>
        <w:t>（二）政府债券发行使用情况</w:t>
      </w:r>
    </w:p>
    <w:p>
      <w:pPr>
        <w:spacing w:line="600" w:lineRule="exact"/>
        <w:ind w:firstLine="640" w:firstLineChars="200"/>
        <w:textAlignment w:val="center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2023年，全县由省级代为发行发行地方政府债券6.61亿元（一般债券资金2.41亿元，专项债券资金4.2亿元）。一般债券资金主要用于连城县民兵训练基地项目、2022年县乡村道水毁修复工程、观景路提升改造项目，以及置换隐性债务等。专项债券资金均为自求平衡专项债券，主要用于连城县职业技术教育实训基地建设项目、城区引调水工程等；再融资债券5.1亿元，用于偿还到期地方政府债券本金。</w:t>
      </w:r>
    </w:p>
    <w:p>
      <w:pPr>
        <w:spacing w:line="600" w:lineRule="exact"/>
        <w:ind w:firstLine="640" w:firstLineChars="200"/>
        <w:textAlignment w:val="center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本级举借新增地方政府债券6.61亿元（一般债券资金2.41亿元，专项债券资金4.2亿元）。一般债券资金主要用于连城县民兵训练基地项目、2022年县乡村道水毁修复工程、观景路提升改造项目，以及置换隐性债务等。专项债券资金均为自求平衡专项债券，主要用于连城县职业技术教育实训基地建设项目、城区引调水工程等；再融资债券5.1亿元，用于偿还到期地方政府债券本金。</w:t>
      </w:r>
    </w:p>
    <w:p>
      <w:pPr>
        <w:pStyle w:val="10"/>
        <w:spacing w:line="600" w:lineRule="exact"/>
        <w:ind w:firstLine="616" w:firstLineChars="200"/>
        <w:rPr>
          <w:rFonts w:hint="default" w:ascii="楷体_GB2312" w:hAnsi="楷体_GB2312" w:eastAsia="楷体_GB2312" w:cs="楷体_GB2312"/>
          <w:bCs/>
          <w:spacing w:val="-6"/>
          <w:szCs w:val="32"/>
        </w:rPr>
      </w:pPr>
      <w:r>
        <w:rPr>
          <w:rFonts w:hint="default" w:ascii="楷体_GB2312" w:hAnsi="楷体_GB2312" w:eastAsia="楷体_GB2312" w:cs="楷体_GB2312"/>
          <w:bCs/>
          <w:spacing w:val="-6"/>
          <w:szCs w:val="32"/>
        </w:rPr>
        <w:t>（三）政府债务还本付息情况</w:t>
      </w:r>
    </w:p>
    <w:p>
      <w:pPr>
        <w:pStyle w:val="10"/>
        <w:spacing w:line="600" w:lineRule="exact"/>
        <w:ind w:firstLineChars="200"/>
        <w:rPr>
          <w:rFonts w:hint="default" w:ascii="Times New Roman" w:hAnsi="Times New Roman" w:eastAsia="仿宋_GB2312" w:cs="Times New Roman"/>
          <w:color w:val="000000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Cs w:val="32"/>
          <w:lang w:val="en-US" w:eastAsia="zh-CN"/>
        </w:rPr>
        <w:t>2022</w:t>
      </w:r>
      <w:r>
        <w:rPr>
          <w:rFonts w:hint="default" w:ascii="Times New Roman" w:hAnsi="Times New Roman" w:eastAsia="仿宋_GB2312" w:cs="Times New Roman"/>
          <w:color w:val="000000"/>
          <w:szCs w:val="32"/>
        </w:rPr>
        <w:t>年，全县偿还政府债券本息</w:t>
      </w:r>
      <w:r>
        <w:rPr>
          <w:rFonts w:hint="default" w:ascii="Times New Roman" w:hAnsi="Times New Roman" w:eastAsia="仿宋_GB2312" w:cs="Times New Roman"/>
          <w:color w:val="000000"/>
          <w:szCs w:val="32"/>
          <w:lang w:val="en-US" w:eastAsia="zh-CN"/>
        </w:rPr>
        <w:t>7.49</w:t>
      </w:r>
      <w:r>
        <w:rPr>
          <w:rFonts w:hint="default" w:ascii="Times New Roman" w:hAnsi="Times New Roman" w:eastAsia="仿宋_GB2312" w:cs="Times New Roman"/>
          <w:color w:val="000000"/>
          <w:szCs w:val="32"/>
        </w:rPr>
        <w:t>亿元，其中：本金</w:t>
      </w:r>
      <w:r>
        <w:rPr>
          <w:rFonts w:hint="default" w:ascii="Times New Roman" w:hAnsi="Times New Roman" w:eastAsia="仿宋_GB2312" w:cs="Times New Roman"/>
          <w:color w:val="000000"/>
          <w:szCs w:val="32"/>
          <w:lang w:val="en-US" w:eastAsia="zh-CN"/>
        </w:rPr>
        <w:t>4.95</w:t>
      </w:r>
      <w:r>
        <w:rPr>
          <w:rFonts w:hint="default" w:ascii="Times New Roman" w:hAnsi="Times New Roman" w:eastAsia="仿宋_GB2312" w:cs="Times New Roman"/>
          <w:color w:val="000000"/>
          <w:szCs w:val="32"/>
        </w:rPr>
        <w:t>亿元、利息</w:t>
      </w:r>
      <w:r>
        <w:rPr>
          <w:rFonts w:hint="default" w:ascii="Times New Roman" w:hAnsi="Times New Roman" w:eastAsia="仿宋_GB2312" w:cs="Times New Roman"/>
          <w:color w:val="000000"/>
          <w:szCs w:val="32"/>
          <w:lang w:val="en-US" w:eastAsia="zh-CN"/>
        </w:rPr>
        <w:t>2.54</w:t>
      </w:r>
      <w:r>
        <w:rPr>
          <w:rFonts w:hint="default" w:ascii="Times New Roman" w:hAnsi="Times New Roman" w:eastAsia="仿宋_GB2312" w:cs="Times New Roman"/>
          <w:color w:val="000000"/>
          <w:szCs w:val="32"/>
        </w:rPr>
        <w:t>亿元。本级偿还政府债券本息</w:t>
      </w:r>
      <w:r>
        <w:rPr>
          <w:rFonts w:hint="default" w:ascii="Times New Roman" w:hAnsi="Times New Roman" w:eastAsia="仿宋_GB2312" w:cs="Times New Roman"/>
          <w:color w:val="000000"/>
          <w:szCs w:val="32"/>
          <w:lang w:val="en-US" w:eastAsia="zh-CN"/>
        </w:rPr>
        <w:t>8.62</w:t>
      </w:r>
      <w:r>
        <w:rPr>
          <w:rFonts w:hint="default" w:ascii="Times New Roman" w:hAnsi="Times New Roman" w:eastAsia="仿宋_GB2312" w:cs="Times New Roman"/>
          <w:color w:val="000000"/>
          <w:szCs w:val="32"/>
        </w:rPr>
        <w:t>亿元，其中：本金</w:t>
      </w:r>
      <w:r>
        <w:rPr>
          <w:rFonts w:hint="default" w:ascii="Times New Roman" w:hAnsi="Times New Roman" w:eastAsia="仿宋_GB2312" w:cs="Times New Roman"/>
          <w:color w:val="000000"/>
          <w:szCs w:val="32"/>
          <w:lang w:val="en-US" w:eastAsia="zh-CN"/>
        </w:rPr>
        <w:t>5.67</w:t>
      </w:r>
      <w:r>
        <w:rPr>
          <w:rFonts w:hint="default" w:ascii="Times New Roman" w:hAnsi="Times New Roman" w:eastAsia="仿宋_GB2312" w:cs="Times New Roman"/>
          <w:color w:val="000000"/>
          <w:szCs w:val="32"/>
        </w:rPr>
        <w:t>亿元、利息</w:t>
      </w:r>
      <w:r>
        <w:rPr>
          <w:rFonts w:hint="default" w:ascii="Times New Roman" w:hAnsi="Times New Roman" w:eastAsia="仿宋_GB2312" w:cs="Times New Roman"/>
          <w:color w:val="000000"/>
          <w:szCs w:val="32"/>
          <w:lang w:val="en-US" w:eastAsia="zh-CN"/>
        </w:rPr>
        <w:t>2.95</w:t>
      </w:r>
      <w:r>
        <w:rPr>
          <w:rFonts w:hint="default" w:ascii="Times New Roman" w:hAnsi="Times New Roman" w:eastAsia="仿宋_GB2312" w:cs="Times New Roman"/>
          <w:color w:val="000000"/>
          <w:szCs w:val="32"/>
        </w:rPr>
        <w:t>亿元。</w:t>
      </w:r>
    </w:p>
    <w:p>
      <w:pPr>
        <w:pStyle w:val="10"/>
        <w:spacing w:line="600" w:lineRule="exact"/>
        <w:ind w:firstLineChars="200"/>
        <w:rPr>
          <w:rFonts w:hint="default" w:ascii="Times New Roman" w:hAnsi="Times New Roman" w:eastAsia="仿宋_GB2312" w:cs="Times New Roman"/>
          <w:spacing w:val="-6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Cs w:val="32"/>
        </w:rPr>
        <w:t>2023年，全县偿还政府债券本息8.62亿元，其中：本金5.67亿元、利息2.95亿元。本级偿还政府债券本息8.62亿元，其中：本金5.67亿元、利息2.95亿元。</w:t>
      </w:r>
    </w:p>
    <w:p>
      <w:pPr>
        <w:pStyle w:val="10"/>
        <w:spacing w:line="600" w:lineRule="exact"/>
        <w:ind w:firstLine="616" w:firstLineChars="200"/>
        <w:rPr>
          <w:rFonts w:hint="default" w:ascii="楷体_GB2312" w:hAnsi="楷体_GB2312" w:eastAsia="楷体_GB2312" w:cs="楷体_GB2312"/>
          <w:bCs/>
          <w:spacing w:val="-6"/>
          <w:szCs w:val="32"/>
        </w:rPr>
      </w:pPr>
      <w:r>
        <w:rPr>
          <w:rFonts w:hint="default" w:ascii="楷体_GB2312" w:hAnsi="楷体_GB2312" w:eastAsia="楷体_GB2312" w:cs="楷体_GB2312"/>
          <w:bCs/>
          <w:spacing w:val="-6"/>
          <w:szCs w:val="32"/>
        </w:rPr>
        <w:t>（四）新增债务限额安排使用情况</w:t>
      </w:r>
    </w:p>
    <w:p>
      <w:pPr>
        <w:pStyle w:val="10"/>
        <w:spacing w:line="600" w:lineRule="exact"/>
        <w:ind w:firstLine="616" w:firstLineChars="200"/>
        <w:rPr>
          <w:rFonts w:hint="default" w:ascii="Times New Roman" w:hAnsi="Times New Roman" w:eastAsia="仿宋_GB2312" w:cs="Times New Roman"/>
          <w:spacing w:val="-6"/>
          <w:szCs w:val="32"/>
        </w:rPr>
      </w:pPr>
      <w:r>
        <w:rPr>
          <w:rFonts w:hint="default" w:ascii="Times New Roman" w:hAnsi="Times New Roman" w:eastAsia="仿宋_GB2312" w:cs="Times New Roman"/>
          <w:spacing w:val="-6"/>
          <w:szCs w:val="32"/>
          <w:lang w:val="en-US" w:eastAsia="zh-CN"/>
        </w:rPr>
        <w:t>2023</w:t>
      </w:r>
      <w:r>
        <w:rPr>
          <w:rFonts w:hint="default" w:ascii="Times New Roman" w:hAnsi="Times New Roman" w:eastAsia="仿宋_GB2312" w:cs="Times New Roman"/>
          <w:spacing w:val="-6"/>
          <w:szCs w:val="32"/>
        </w:rPr>
        <w:t>年，省财政下达我</w:t>
      </w:r>
      <w:r>
        <w:rPr>
          <w:rFonts w:hint="default" w:ascii="Times New Roman" w:hAnsi="Times New Roman" w:eastAsia="仿宋_GB2312" w:cs="Times New Roman"/>
          <w:color w:val="000000"/>
          <w:szCs w:val="32"/>
        </w:rPr>
        <w:t>县</w:t>
      </w:r>
      <w:r>
        <w:rPr>
          <w:rFonts w:hint="default" w:ascii="Times New Roman" w:hAnsi="Times New Roman" w:eastAsia="仿宋_GB2312" w:cs="Times New Roman"/>
          <w:spacing w:val="-6"/>
          <w:szCs w:val="32"/>
        </w:rPr>
        <w:t>新增债务限额91.81亿元，其中：一般债务限额27.82亿元，安排用于支持乡村振兴、污染防治等没有收益的公益性项目建设；专项债务限额63.99亿元，安排用于经省政府审定的专项债券项目等。</w:t>
      </w:r>
    </w:p>
    <w:p>
      <w:pPr>
        <w:pStyle w:val="10"/>
        <w:spacing w:line="600" w:lineRule="exact"/>
        <w:ind w:firstLine="616" w:firstLineChars="200"/>
        <w:rPr>
          <w:rFonts w:hint="default" w:ascii="Times New Roman" w:hAnsi="Times New Roman" w:eastAsia="仿宋_GB2312" w:cs="Times New Roman"/>
          <w:spacing w:val="-6"/>
          <w:szCs w:val="32"/>
        </w:rPr>
      </w:pPr>
      <w:r>
        <w:rPr>
          <w:rFonts w:hint="default" w:ascii="Times New Roman" w:hAnsi="Times New Roman" w:eastAsia="仿宋_GB2312" w:cs="Times New Roman"/>
          <w:spacing w:val="-6"/>
          <w:szCs w:val="32"/>
        </w:rPr>
        <w:t>本级新增债务限额91.81亿元，其中：一般债务限额27.82亿元，安排用于支持乡村振兴、污染防治等没有收益的公益性项目建设；专项债务限额63.99亿元，安排用于经省政府审定的专项债券项目等。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四、重大政策和重点项目绩效目标</w:t>
      </w:r>
    </w:p>
    <w:p>
      <w:pPr>
        <w:spacing w:line="600" w:lineRule="exact"/>
        <w:ind w:firstLine="62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重大政策和重点项目等绩效目标详见附件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t>2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3740"/>
    <w:rsid w:val="000204A3"/>
    <w:rsid w:val="00057A3C"/>
    <w:rsid w:val="00064ED6"/>
    <w:rsid w:val="000F5DDA"/>
    <w:rsid w:val="00102DF0"/>
    <w:rsid w:val="001406C4"/>
    <w:rsid w:val="00172A27"/>
    <w:rsid w:val="001A7FD7"/>
    <w:rsid w:val="001B590F"/>
    <w:rsid w:val="001D016C"/>
    <w:rsid w:val="001F3A0E"/>
    <w:rsid w:val="002411BA"/>
    <w:rsid w:val="00274A28"/>
    <w:rsid w:val="002C70FC"/>
    <w:rsid w:val="00313891"/>
    <w:rsid w:val="003236FA"/>
    <w:rsid w:val="00375811"/>
    <w:rsid w:val="00375B3E"/>
    <w:rsid w:val="0041486E"/>
    <w:rsid w:val="004317C8"/>
    <w:rsid w:val="00455923"/>
    <w:rsid w:val="0054724C"/>
    <w:rsid w:val="005775D9"/>
    <w:rsid w:val="00580AD9"/>
    <w:rsid w:val="005D12B2"/>
    <w:rsid w:val="005E0796"/>
    <w:rsid w:val="00651375"/>
    <w:rsid w:val="006E21A0"/>
    <w:rsid w:val="006E2FCE"/>
    <w:rsid w:val="007723B3"/>
    <w:rsid w:val="007A0B3E"/>
    <w:rsid w:val="007B0B82"/>
    <w:rsid w:val="008A3101"/>
    <w:rsid w:val="009B3A3B"/>
    <w:rsid w:val="009C555E"/>
    <w:rsid w:val="009D34A6"/>
    <w:rsid w:val="00A138DA"/>
    <w:rsid w:val="00A77A0F"/>
    <w:rsid w:val="00A84FEF"/>
    <w:rsid w:val="00AA0635"/>
    <w:rsid w:val="00B03E7C"/>
    <w:rsid w:val="00B351AA"/>
    <w:rsid w:val="00BC2471"/>
    <w:rsid w:val="00C64253"/>
    <w:rsid w:val="00C90D45"/>
    <w:rsid w:val="00CA7A29"/>
    <w:rsid w:val="00D2795D"/>
    <w:rsid w:val="00D35A3A"/>
    <w:rsid w:val="00D51D8D"/>
    <w:rsid w:val="00D57973"/>
    <w:rsid w:val="00D71E8E"/>
    <w:rsid w:val="00D905AB"/>
    <w:rsid w:val="00E13E18"/>
    <w:rsid w:val="00E469B6"/>
    <w:rsid w:val="00E55473"/>
    <w:rsid w:val="00EE575F"/>
    <w:rsid w:val="00EF1883"/>
    <w:rsid w:val="00F849A8"/>
    <w:rsid w:val="00FC6FDA"/>
    <w:rsid w:val="01474010"/>
    <w:rsid w:val="0598413A"/>
    <w:rsid w:val="089C0EFB"/>
    <w:rsid w:val="0A114100"/>
    <w:rsid w:val="0C736C04"/>
    <w:rsid w:val="0D00762C"/>
    <w:rsid w:val="0E0B7C2B"/>
    <w:rsid w:val="11895492"/>
    <w:rsid w:val="11AD619E"/>
    <w:rsid w:val="1B305D20"/>
    <w:rsid w:val="205323E9"/>
    <w:rsid w:val="224A5791"/>
    <w:rsid w:val="226F3EBC"/>
    <w:rsid w:val="292A25A0"/>
    <w:rsid w:val="2B091087"/>
    <w:rsid w:val="2B3A4B1A"/>
    <w:rsid w:val="2C2F276F"/>
    <w:rsid w:val="30814147"/>
    <w:rsid w:val="3188213C"/>
    <w:rsid w:val="31C96384"/>
    <w:rsid w:val="321B794C"/>
    <w:rsid w:val="35FC667A"/>
    <w:rsid w:val="371776BC"/>
    <w:rsid w:val="38F15953"/>
    <w:rsid w:val="3AC12AAD"/>
    <w:rsid w:val="3BD76F4D"/>
    <w:rsid w:val="3BEB4AC0"/>
    <w:rsid w:val="3D8D15C7"/>
    <w:rsid w:val="405B61C7"/>
    <w:rsid w:val="483023F6"/>
    <w:rsid w:val="488D14F4"/>
    <w:rsid w:val="4C1902EE"/>
    <w:rsid w:val="4CBD28EA"/>
    <w:rsid w:val="4DAF5967"/>
    <w:rsid w:val="4F0402EC"/>
    <w:rsid w:val="53671101"/>
    <w:rsid w:val="54510AF3"/>
    <w:rsid w:val="5477723E"/>
    <w:rsid w:val="59E4052A"/>
    <w:rsid w:val="5ABE0581"/>
    <w:rsid w:val="5AEA7695"/>
    <w:rsid w:val="5D773233"/>
    <w:rsid w:val="5DF70D68"/>
    <w:rsid w:val="5E082CF6"/>
    <w:rsid w:val="61526FB3"/>
    <w:rsid w:val="615FB0EC"/>
    <w:rsid w:val="61D1471A"/>
    <w:rsid w:val="62191018"/>
    <w:rsid w:val="667A5D28"/>
    <w:rsid w:val="67A74FFD"/>
    <w:rsid w:val="688437BF"/>
    <w:rsid w:val="68A8148B"/>
    <w:rsid w:val="6C8A5C38"/>
    <w:rsid w:val="6DDE3E16"/>
    <w:rsid w:val="6DFB044F"/>
    <w:rsid w:val="6EF12ED6"/>
    <w:rsid w:val="74F6768B"/>
    <w:rsid w:val="7722257B"/>
    <w:rsid w:val="77FC7B77"/>
    <w:rsid w:val="7B0F541D"/>
    <w:rsid w:val="7C031B88"/>
    <w:rsid w:val="7E580E49"/>
    <w:rsid w:val="BFBF1360"/>
    <w:rsid w:val="C3F7AB85"/>
    <w:rsid w:val="DD97C41A"/>
    <w:rsid w:val="EACD7F1B"/>
    <w:rsid w:val="EDEFEBA4"/>
    <w:rsid w:val="F37B1E21"/>
    <w:rsid w:val="FD3B3BAE"/>
    <w:rsid w:val="FEBDEEC1"/>
    <w:rsid w:val="FFBF9BE2"/>
    <w:rsid w:val="FFBFE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10">
    <w:name w:val="内容"/>
    <w:basedOn w:val="1"/>
    <w:qFormat/>
    <w:uiPriority w:val="0"/>
    <w:pPr>
      <w:snapToGrid w:val="0"/>
      <w:spacing w:line="640" w:lineRule="exact"/>
      <w:ind w:firstLine="640"/>
    </w:pPr>
    <w:rPr>
      <w:rFonts w:ascii="Calibri" w:hAnsi="楷体" w:eastAsia="宋体" w:cs="Times New Roman"/>
      <w:snapToGrid w:val="0"/>
      <w:kern w:val="0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542</Words>
  <Characters>3092</Characters>
  <Lines>25</Lines>
  <Paragraphs>7</Paragraphs>
  <TotalTime>0</TotalTime>
  <ScaleCrop>false</ScaleCrop>
  <LinksUpToDate>false</LinksUpToDate>
  <CharactersWithSpaces>3627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2018-01-03T00:12:00Z</dcterms:created>
  <dc:creator>何吾志</dc:creator>
  <cp:lastModifiedBy>Administrator</cp:lastModifiedBy>
  <cp:lastPrinted>2022-01-28T23:12:00Z</cp:lastPrinted>
  <dcterms:modified xsi:type="dcterms:W3CDTF">2025-10-13T07:13:26Z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52A1ED9A32AFB164E86AEC686E04DDDD</vt:lpwstr>
  </property>
</Properties>
</file>