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064BC">
      <w:pPr>
        <w:jc w:val="center"/>
        <w:rPr>
          <w:rFonts w:ascii="Times New Roman" w:hAnsi="Times New Roman" w:eastAsia="方正小标宋简体" w:cs="Times New Roman"/>
          <w:sz w:val="36"/>
          <w:szCs w:val="36"/>
        </w:rPr>
      </w:pPr>
      <w:bookmarkStart w:id="0" w:name="_Hlk201668746"/>
      <w:r>
        <w:rPr>
          <w:rFonts w:ascii="Times New Roman" w:hAnsi="Times New Roman" w:eastAsia="方正小标宋简体" w:cs="Times New Roman"/>
          <w:sz w:val="36"/>
          <w:szCs w:val="36"/>
        </w:rPr>
        <w:t>连城县畜禽养殖禁养区划定修订方案</w:t>
      </w:r>
    </w:p>
    <w:p w14:paraId="418E11DF">
      <w:pPr>
        <w:jc w:val="center"/>
        <w:rPr>
          <w:rFonts w:ascii="Times New Roman" w:hAnsi="Times New Roman" w:eastAsia="楷体_GB2312" w:cs="Times New Roman"/>
          <w:b/>
          <w:bCs/>
          <w:sz w:val="36"/>
          <w:szCs w:val="36"/>
        </w:rPr>
      </w:pPr>
      <w:r>
        <w:rPr>
          <w:rFonts w:ascii="Times New Roman" w:hAnsi="Times New Roman" w:eastAsia="楷体_GB2312" w:cs="Times New Roman"/>
          <w:b/>
          <w:bCs/>
          <w:sz w:val="36"/>
          <w:szCs w:val="36"/>
        </w:rPr>
        <w:t>（</w:t>
      </w:r>
      <w:r>
        <w:rPr>
          <w:rFonts w:hint="eastAsia" w:ascii="Times New Roman" w:hAnsi="Times New Roman" w:eastAsia="楷体_GB2312" w:cs="Times New Roman"/>
          <w:b/>
          <w:bCs/>
          <w:sz w:val="36"/>
          <w:szCs w:val="36"/>
          <w:lang w:eastAsia="zh-CN"/>
        </w:rPr>
        <w:t>报批</w:t>
      </w:r>
      <w:r>
        <w:rPr>
          <w:rFonts w:ascii="Times New Roman" w:hAnsi="Times New Roman" w:eastAsia="楷体_GB2312" w:cs="Times New Roman"/>
          <w:b/>
          <w:bCs/>
          <w:sz w:val="36"/>
          <w:szCs w:val="36"/>
        </w:rPr>
        <w:t>稿）</w:t>
      </w:r>
    </w:p>
    <w:p w14:paraId="4FC50F78">
      <w:pPr>
        <w:rPr>
          <w:rFonts w:ascii="Times New Roman" w:hAnsi="Times New Roman" w:eastAsia="仿宋_GB2312" w:cs="Times New Roman"/>
          <w:sz w:val="32"/>
          <w:szCs w:val="32"/>
        </w:rPr>
      </w:pPr>
    </w:p>
    <w:p w14:paraId="22F1C350">
      <w:pPr>
        <w:ind w:firstLine="640" w:firstLineChars="200"/>
        <w:rPr>
          <w:rFonts w:ascii="Times New Roman" w:hAnsi="Times New Roman" w:eastAsia="仿宋_GB2312" w:cs="Times New Roman"/>
          <w:sz w:val="32"/>
          <w:szCs w:val="32"/>
        </w:rPr>
      </w:pPr>
      <w:bookmarkStart w:id="7" w:name="_GoBack"/>
      <w:bookmarkEnd w:id="7"/>
      <w:r>
        <w:rPr>
          <w:rFonts w:ascii="Times New Roman" w:hAnsi="Times New Roman" w:eastAsia="仿宋_GB2312" w:cs="Times New Roman"/>
          <w:sz w:val="32"/>
          <w:szCs w:val="32"/>
        </w:rPr>
        <w:t>根据《中华人民共和国环境保护法》《中华人民共和国畜牧法》《中华人民共和国动物防疫法》《畜禽规模养殖污染防治条例》《福建省农业生态环境保护条例》《动物防疫条件审查办法》《畜禽养殖禁养区划定技术指南》《龙岩市饮用水水源保护条例》等有关法律法规相关规定，结合我县实际，现将我县畜禽养殖禁养区划定方案进行调整如下：</w:t>
      </w:r>
    </w:p>
    <w:p w14:paraId="2FDE9913">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一、划定原则</w:t>
      </w:r>
    </w:p>
    <w:p w14:paraId="09A32C8C">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优化畜禽养殖产业布局、控制农业面源污染、保障生态环境安全为目的，以统筹兼顾、科学可行、依法合规、以人为本为基本原则，综合考虑各区域主体功能定位及生态功能重要性，在与生态保护红线格局相协调前提下，以饮用水水源保护区、自然保护区的核心区和缓冲区、风景名胜区、城镇居民区、文化教育科学研究区等区域为重点，兼顾江河源头区、重要河流岸带周边等对水环境影响较大的区域，科学合理划定禁养区范围，切实加强环境监管，促进环境保护和畜牧业协调发展。</w:t>
      </w:r>
    </w:p>
    <w:p w14:paraId="53F0A4A4">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二、划定范围</w:t>
      </w:r>
    </w:p>
    <w:p w14:paraId="0B67681E">
      <w:pPr>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（一）主要水系</w:t>
      </w:r>
    </w:p>
    <w:p w14:paraId="1911F475">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连城县属于三江源头，县域内闽江流域罗口溪、姑田溪河流两岸500米范围或第一重山，涉及的一级支流北团河、文川河等支流两岸100米范围或第一重山，文川河省控省控江坊村上游两岸200米范围或第一重山；汀江流域旧县河河流两岸500米范围或第一重山，涉及的一级支流湖峰、新泉、朋口、庙前溪等支流两岸100米范围或第一重山。九龙江流域蒲竹溪等主要河流两岸200米范围或第一重山内区域禁止建设畜禽养殖场。（见附件1）</w:t>
      </w:r>
    </w:p>
    <w:p w14:paraId="51E900BE">
      <w:pPr>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（二）城镇居民区和文化教育科学研究区</w:t>
      </w:r>
    </w:p>
    <w:p w14:paraId="0A5808DE">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根据法律、法规要求城镇现行总体规划内居民区；文化教育科学研究区等人口集中区域，禁止建设畜禽养殖场。规划范围见附件2，如规划更新以更新后规划为准。</w:t>
      </w:r>
    </w:p>
    <w:p w14:paraId="6E58F1CE">
      <w:pPr>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（三）饮用水水源保护区</w:t>
      </w:r>
    </w:p>
    <w:p w14:paraId="60FE6C83">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根据《中华人民共和国水污染防治法》《福建省水污染防治条例》《福建省水资源条例》《龙岩市饮用水水源保护条例》有关规定，饮用水水源一级保护区、二级保护区内禁止建设畜禽养殖场。</w:t>
      </w:r>
    </w:p>
    <w:p w14:paraId="1B95C299">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连城县城区集中式饮用水源保护区共包括竹光、波洋、姚坪、罗坊乡鲜水塘4个地下水取水点及连城县城区第二水源北团河水源（地表水）保护区（见附件3）。地下水水源设一级保护区为取水点周围50米范围，不设二级保护区。第二水源北团河保护区设一级保护区，总面积0.4694平方公里；设二级水源保护区，总面积3.6830平方公里。</w:t>
      </w:r>
    </w:p>
    <w:p w14:paraId="5B57155D">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2．县域内各乡（镇）集镇所在地饮用水源保护区（见附件4），涉及16个乡镇21个水源地，一级保护区划定范围19.83平方公里；二级保护区划定范围28.91平方公里。</w:t>
      </w:r>
    </w:p>
    <w:p w14:paraId="36DB69F3">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3．农村“千吨万人”集中式饮用水水源地保护区及农村饮用水保护范围内。</w:t>
      </w:r>
    </w:p>
    <w:p w14:paraId="12A82CB1">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如在本方案执行期间，有新增饮用水水源地保护区（保护范围），与之相应增加为禁养区范围；执行期间饮用水水源地取消的，相应禁养区取消，水源地划定与取消以具体公告为准。</w:t>
      </w:r>
    </w:p>
    <w:p w14:paraId="04D940F6">
      <w:pPr>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（四）风景名胜区</w:t>
      </w:r>
    </w:p>
    <w:p w14:paraId="7BCBDA90">
      <w:pPr>
        <w:ind w:firstLine="640" w:firstLineChars="200"/>
        <w:rPr>
          <w:rFonts w:ascii="Times New Roman" w:hAnsi="Times New Roman" w:eastAsia="仿宋_GB2312" w:cs="Times New Roman"/>
          <w:sz w:val="32"/>
          <w:szCs w:val="32"/>
        </w:rPr>
      </w:pPr>
      <w:bookmarkStart w:id="1" w:name="_Hlk207441981"/>
      <w:r>
        <w:rPr>
          <w:rFonts w:ascii="Times New Roman" w:hAnsi="Times New Roman" w:eastAsia="仿宋_GB2312" w:cs="Times New Roman"/>
          <w:sz w:val="32"/>
          <w:szCs w:val="32"/>
        </w:rPr>
        <w:t>根据《风景名胜区条例》《福建省风景名胜区条例》《畜禽规模养殖污染防治条例》有关规定，国家级和省级风景名胜区内禁止建设畜禽养殖场。</w:t>
      </w:r>
      <w:bookmarkStart w:id="2" w:name="_Hlk207401523"/>
      <w:r>
        <w:rPr>
          <w:rFonts w:ascii="Times New Roman" w:hAnsi="Times New Roman" w:eastAsia="仿宋_GB2312" w:cs="Times New Roman"/>
          <w:sz w:val="32"/>
          <w:szCs w:val="32"/>
        </w:rPr>
        <w:t>连城县冠豸山风景名胜区</w:t>
      </w:r>
      <w:bookmarkEnd w:id="2"/>
      <w:r>
        <w:rPr>
          <w:rFonts w:ascii="Times New Roman" w:hAnsi="Times New Roman" w:eastAsia="仿宋_GB2312" w:cs="Times New Roman"/>
          <w:sz w:val="32"/>
          <w:szCs w:val="32"/>
        </w:rPr>
        <w:t>属于国家级风景名胜区，具体范围按照冠豸山风景名胜区规划确定的范围执行（见附件4）。</w:t>
      </w:r>
    </w:p>
    <w:bookmarkEnd w:id="1"/>
    <w:p w14:paraId="42E57102">
      <w:pPr>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（五）自然保护区</w:t>
      </w:r>
      <w:bookmarkStart w:id="3" w:name="_Hlk206749955"/>
      <w:r>
        <w:rPr>
          <w:rFonts w:ascii="Times New Roman" w:hAnsi="Times New Roman" w:eastAsia="楷体_GB2312" w:cs="Times New Roman"/>
          <w:b/>
          <w:bCs/>
          <w:sz w:val="32"/>
          <w:szCs w:val="32"/>
        </w:rPr>
        <w:t>核心区和缓冲区</w:t>
      </w:r>
      <w:bookmarkEnd w:id="3"/>
    </w:p>
    <w:p w14:paraId="1A5CC7A8">
      <w:pPr>
        <w:ind w:firstLine="640" w:firstLineChars="200"/>
        <w:rPr>
          <w:rFonts w:ascii="Times New Roman" w:hAnsi="Times New Roman" w:eastAsia="仿宋_GB2312" w:cs="Times New Roman"/>
          <w:sz w:val="32"/>
          <w:szCs w:val="32"/>
        </w:rPr>
      </w:pPr>
      <w:bookmarkStart w:id="4" w:name="_Hlk207441994"/>
      <w:r>
        <w:rPr>
          <w:rFonts w:ascii="Times New Roman" w:hAnsi="Times New Roman" w:eastAsia="仿宋_GB2312" w:cs="Times New Roman"/>
          <w:sz w:val="32"/>
          <w:szCs w:val="32"/>
        </w:rPr>
        <w:t>自然保护区核心区和缓冲区范围内，禁止建设畜禽养殖场。自然保护区的核心区和缓冲区，按照福建省人民政府公布的自然保护区范围执行。连城县范围内涉及有梅花山自然保护区，规划总面积为22168.5公顷，保护区四至范围：东起龙岩市江山乡背洋村，西至连城县庙前镇岩背村，南始龙岩市江山乡福坑村，北达连城县曲溪乡罗胜村，具体核心区和缓冲区范围按照梅花山自然保护区规划范围执行。</w:t>
      </w:r>
    </w:p>
    <w:bookmarkEnd w:id="4"/>
    <w:p w14:paraId="4C3D1409">
      <w:pPr>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w:t>
      </w:r>
      <w:r>
        <w:rPr>
          <w:rFonts w:hint="eastAsia" w:ascii="Times New Roman" w:hAnsi="Times New Roman" w:eastAsia="楷体_GB2312" w:cs="Times New Roman"/>
          <w:b/>
          <w:bCs/>
          <w:sz w:val="32"/>
          <w:szCs w:val="32"/>
        </w:rPr>
        <w:t>六</w:t>
      </w:r>
      <w:r>
        <w:rPr>
          <w:rFonts w:ascii="Times New Roman" w:hAnsi="Times New Roman" w:eastAsia="楷体_GB2312" w:cs="Times New Roman"/>
          <w:b/>
          <w:bCs/>
          <w:sz w:val="32"/>
          <w:szCs w:val="32"/>
        </w:rPr>
        <w:t>）其他禁止建设畜禽养殖场区域</w:t>
      </w:r>
    </w:p>
    <w:bookmarkEnd w:id="0"/>
    <w:p w14:paraId="0B7F5C84">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三、保障措施</w:t>
      </w:r>
    </w:p>
    <w:p w14:paraId="2E89ACDD">
      <w:pPr>
        <w:ind w:firstLine="643" w:firstLineChars="200"/>
        <w:rPr>
          <w:rFonts w:ascii="Times New Roman" w:hAnsi="Times New Roman" w:eastAsia="仿宋_GB2312" w:cs="Times New Roman"/>
          <w:sz w:val="32"/>
          <w:szCs w:val="32"/>
        </w:rPr>
      </w:pPr>
      <w:bookmarkStart w:id="5" w:name="_Hlk207442027"/>
      <w:r>
        <w:rPr>
          <w:rFonts w:ascii="Times New Roman" w:hAnsi="Times New Roman" w:eastAsia="楷体_GB2312" w:cs="Times New Roman"/>
          <w:b/>
          <w:bCs/>
          <w:sz w:val="32"/>
          <w:szCs w:val="32"/>
        </w:rPr>
        <w:t>（一）落实禁养区长效管理。</w:t>
      </w:r>
      <w:r>
        <w:rPr>
          <w:rFonts w:ascii="Times New Roman" w:hAnsi="Times New Roman" w:eastAsia="仿宋_GB2312" w:cs="Times New Roman"/>
          <w:sz w:val="32"/>
          <w:szCs w:val="32"/>
        </w:rPr>
        <w:t>各乡镇要落实禁养区管理，加强对已关闭搬迁畜禽养殖场的巡查监管，严防禁养区畜禽反弹回潮。同时对在划定禁养区前建设的畜禽养殖场，支持异地重建。各部门要按各自工作职责，依法对禁养区内建设畜禽养殖场、养殖畜禽等违法行为，实施监督管理。</w:t>
      </w:r>
    </w:p>
    <w:p w14:paraId="72B9716D">
      <w:pPr>
        <w:ind w:firstLine="643"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（二）严格准入。</w:t>
      </w:r>
      <w:r>
        <w:rPr>
          <w:rFonts w:ascii="Times New Roman" w:hAnsi="Times New Roman" w:eastAsia="仿宋_GB2312" w:cs="Times New Roman"/>
          <w:sz w:val="32"/>
          <w:szCs w:val="32"/>
        </w:rPr>
        <w:t>新建、扩建、改建的畜禽养殖场选址必须符合城镇总体规划、国土空间总体规划、土地利用总体规划、畜牧业发展规划、畜禽养殖污染防治规划、生态环境管控单元准入清单、生态保护红线等，满足动物防疫条件，同时周边涉及城镇居民区和文化教育科学研究区的，选址距离应符合卫生防护距离要求。</w:t>
      </w:r>
    </w:p>
    <w:p w14:paraId="2561F284">
      <w:pPr>
        <w:ind w:firstLine="643"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（三）</w:t>
      </w:r>
      <w:r>
        <w:rPr>
          <w:rFonts w:ascii="Times New Roman" w:hAnsi="Times New Roman" w:eastAsia="仿宋_GB2312" w:cs="Times New Roman"/>
          <w:b/>
          <w:bCs/>
          <w:sz w:val="32"/>
          <w:szCs w:val="32"/>
        </w:rPr>
        <w:t>动态更新。</w:t>
      </w:r>
      <w:r>
        <w:rPr>
          <w:rFonts w:ascii="Times New Roman" w:hAnsi="Times New Roman" w:eastAsia="仿宋_GB2312" w:cs="Times New Roman"/>
          <w:sz w:val="32"/>
          <w:szCs w:val="32"/>
        </w:rPr>
        <w:t>本方案发布后，国家、省、市颁发的法律、法规、条例对禁养区有新规定的，按新规定执行。执行期间饮用水水源保护区、城镇居民区和文化教育科学研究区、风景名胜区、自然保护区等，</w:t>
      </w:r>
      <w:bookmarkStart w:id="6" w:name="_Hlk207441757"/>
      <w:r>
        <w:rPr>
          <w:rFonts w:ascii="Times New Roman" w:hAnsi="Times New Roman" w:eastAsia="仿宋_GB2312" w:cs="Times New Roman"/>
          <w:sz w:val="32"/>
          <w:szCs w:val="32"/>
        </w:rPr>
        <w:t>根据国家、省、市相关批复规划或方案发生调整的，禁养区同步进行调整。</w:t>
      </w:r>
      <w:bookmarkEnd w:id="6"/>
    </w:p>
    <w:p w14:paraId="1FED7488">
      <w:pPr>
        <w:ind w:firstLine="643"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（四）其他要求。</w:t>
      </w:r>
      <w:r>
        <w:rPr>
          <w:rFonts w:ascii="Times New Roman" w:hAnsi="Times New Roman" w:eastAsia="仿宋_GB2312" w:cs="Times New Roman"/>
          <w:sz w:val="32"/>
          <w:szCs w:val="32"/>
        </w:rPr>
        <w:t>法律、法规规定的其他禁止养殖区域，涉及有生态公益林、河道管理线范围、文物保护单位、地质灾害危险区、永久基本农田、交通干线等各类区域，实施期间可能出台相关法律新增或取消相关禁止养殖区域，因此各养殖场建设选址过程中，应充分考虑所在区域环境特征，与对应自然资源、林业、水利、文旅、交通、农业、建设等相关部门进行核实选址可行性，确保符合法律、法规及政策要求。</w:t>
      </w:r>
    </w:p>
    <w:p w14:paraId="7B35D2BB">
      <w:pPr>
        <w:ind w:firstLine="643" w:firstLineChars="200"/>
        <w:rPr>
          <w:rFonts w:ascii="Times New Roman" w:hAnsi="Times New Roman" w:eastAsia="楷体_GB2312" w:cs="Times New Roman"/>
          <w:b/>
          <w:bCs/>
          <w:sz w:val="32"/>
          <w:szCs w:val="32"/>
        </w:rPr>
      </w:pPr>
      <w:r>
        <w:rPr>
          <w:rFonts w:ascii="Times New Roman" w:hAnsi="Times New Roman" w:eastAsia="仿宋_GB2312" w:cs="Times New Roman"/>
          <w:b/>
          <w:bCs/>
          <w:sz w:val="32"/>
          <w:szCs w:val="32"/>
        </w:rPr>
        <w:t>（五）</w:t>
      </w:r>
      <w:r>
        <w:rPr>
          <w:rFonts w:ascii="Times New Roman" w:hAnsi="Times New Roman" w:eastAsia="楷体_GB2312" w:cs="Times New Roman"/>
          <w:b/>
          <w:bCs/>
          <w:sz w:val="32"/>
          <w:szCs w:val="32"/>
        </w:rPr>
        <w:t>本通告发文之日起执行，有效期5年。</w:t>
      </w:r>
      <w:r>
        <w:rPr>
          <w:rFonts w:ascii="Times New Roman" w:hAnsi="Times New Roman" w:eastAsia="仿宋_GB2312" w:cs="Times New Roman"/>
          <w:sz w:val="32"/>
          <w:szCs w:val="32"/>
        </w:rPr>
        <w:t>2020年3月27日《连城县人民政府关于印发连城县畜禽养殖禁养区划定方案的通知》（连政综〔2020〕47号）同时废止。</w:t>
      </w:r>
    </w:p>
    <w:bookmarkEnd w:id="5"/>
    <w:p w14:paraId="300CE0C3">
      <w:pPr>
        <w:ind w:firstLine="640" w:firstLineChars="200"/>
        <w:rPr>
          <w:rFonts w:ascii="Times New Roman" w:hAnsi="Times New Roman" w:eastAsia="仿宋_GB2312" w:cs="Times New Roman"/>
          <w:sz w:val="32"/>
          <w:szCs w:val="32"/>
        </w:rPr>
      </w:pPr>
    </w:p>
    <w:p w14:paraId="180E54CB">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附件：1.连城县域内主要河流水系</w:t>
      </w:r>
    </w:p>
    <w:p w14:paraId="7E2FCECC">
      <w:pPr>
        <w:ind w:left="122" w:firstLine="1436" w:firstLineChars="449"/>
        <w:rPr>
          <w:rFonts w:ascii="Times New Roman" w:hAnsi="Times New Roman" w:eastAsia="仿宋_GB2312" w:cs="Times New Roman"/>
          <w:sz w:val="32"/>
          <w:szCs w:val="32"/>
        </w:rPr>
      </w:pPr>
      <w:r>
        <w:rPr>
          <w:rFonts w:ascii="Times New Roman" w:hAnsi="Times New Roman" w:eastAsia="仿宋_GB2312" w:cs="Times New Roman"/>
          <w:sz w:val="32"/>
          <w:szCs w:val="32"/>
        </w:rPr>
        <w:t>2.城镇现行总体规划范围</w:t>
      </w:r>
    </w:p>
    <w:p w14:paraId="1D5DCEB4">
      <w:pPr>
        <w:ind w:left="122" w:firstLine="1436" w:firstLineChars="449"/>
        <w:rPr>
          <w:rFonts w:ascii="Times New Roman" w:hAnsi="Times New Roman" w:eastAsia="仿宋_GB2312" w:cs="Times New Roman"/>
          <w:sz w:val="32"/>
          <w:szCs w:val="32"/>
        </w:rPr>
      </w:pPr>
      <w:r>
        <w:rPr>
          <w:rFonts w:ascii="Times New Roman" w:hAnsi="Times New Roman" w:eastAsia="仿宋_GB2312" w:cs="Times New Roman"/>
          <w:sz w:val="32"/>
          <w:szCs w:val="32"/>
        </w:rPr>
        <w:t>3.连城县县级城市集中式饮用水水源名单</w:t>
      </w:r>
    </w:p>
    <w:p w14:paraId="32CFA1AA">
      <w:pPr>
        <w:ind w:firstLine="1558" w:firstLineChars="487"/>
        <w:rPr>
          <w:rFonts w:ascii="Times New Roman" w:hAnsi="Times New Roman" w:eastAsia="仿宋_GB2312" w:cs="Times New Roman"/>
          <w:sz w:val="32"/>
          <w:szCs w:val="32"/>
        </w:rPr>
      </w:pPr>
      <w:r>
        <w:rPr>
          <w:rFonts w:ascii="Times New Roman" w:hAnsi="Times New Roman" w:eastAsia="仿宋_GB2312" w:cs="Times New Roman"/>
          <w:sz w:val="32"/>
          <w:szCs w:val="32"/>
        </w:rPr>
        <w:t>4.连城县集镇集中式生活饮用水源保护区划</w:t>
      </w:r>
    </w:p>
    <w:p w14:paraId="592B5BFA">
      <w:pPr>
        <w:ind w:firstLine="1558" w:firstLineChars="487"/>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ascii="Times New Roman" w:hAnsi="Times New Roman" w:cs="Times New Roman"/>
        </w:rPr>
        <w:t xml:space="preserve"> </w:t>
      </w:r>
      <w:r>
        <w:rPr>
          <w:rFonts w:ascii="Times New Roman" w:hAnsi="Times New Roman" w:eastAsia="仿宋_GB2312" w:cs="Times New Roman"/>
          <w:sz w:val="32"/>
          <w:szCs w:val="32"/>
        </w:rPr>
        <w:t>连城县冠豸山风景名胜区范围</w:t>
      </w:r>
    </w:p>
    <w:p w14:paraId="479A7600">
      <w:pPr>
        <w:rPr>
          <w:rFonts w:ascii="Times New Roman" w:hAnsi="Times New Roman" w:eastAsia="仿宋_GB2312" w:cs="Times New Roman"/>
          <w:sz w:val="32"/>
          <w:szCs w:val="32"/>
        </w:rPr>
      </w:pPr>
    </w:p>
    <w:p w14:paraId="6C0A5E06">
      <w:pPr>
        <w:rPr>
          <w:rFonts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0779AD9B">
      <w:pP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附件1：</w:t>
      </w:r>
    </w:p>
    <w:p w14:paraId="30BAA3A1">
      <w:pPr>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连城县域内主要河流水系</w:t>
      </w:r>
    </w:p>
    <w:p w14:paraId="032424AB">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闽江流域罗口溪、姑田溪禁养起止地点及路径：</w:t>
      </w:r>
    </w:p>
    <w:p w14:paraId="1C9F6B0C">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（一）罗口溪：由北团河与文川河汇合口柯坊村为起点，在下游流入清流县境处为终点。沿河两岸500米范围或第一重山内区域。</w:t>
      </w:r>
    </w:p>
    <w:p w14:paraId="2ADA644F">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文川河（不含塘前溪）:由连城县第二实验小学东侧拦水坝为起点，沿途流经莲峰、揭乐，到揭乐乡黄坊村良滩经清流县境为终点，沿河两岸100米范围或第一重山内区域。省控上游省控江坊村断面至福地水库，两岸200米范围或第一重山。</w:t>
      </w:r>
    </w:p>
    <w:p w14:paraId="1746F6FB">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（二）北团溪：由北团镇蕉坑村尾起点，沿途流经北团镇集镇，在北团河与文川河汇合口处为终点。沿河两岸100米范围或第一重山内区域。</w:t>
      </w:r>
    </w:p>
    <w:p w14:paraId="187DAB37">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（三）姑田溪：由小洋地水库库区为起点，沿途流经姑田镇集镇、城兜村山峰下游流入永安市处为终点。沿河两岸500米范围或第一重山内区域。</w:t>
      </w:r>
    </w:p>
    <w:p w14:paraId="281E2104">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二、汀江流域旧县河(含文亨湖峰、朋口、新泉、庙前溪等支流)各溪起止地点及路径。</w:t>
      </w:r>
    </w:p>
    <w:p w14:paraId="26E56D99">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（一）旧县河：由新泉河与庙前溪汇合口为起点，至上杭县南阳镇下车村下车大桥为终点。沿河两岸500米范围或第一重山内区域。</w:t>
      </w:r>
    </w:p>
    <w:p w14:paraId="4AAA4393">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（二）湖峰溪：由文亨镇蒋芳村为起点，至湖峰溪及宣和溪汇合口为终点。沿河两岸100米范围或第一重山内区域。</w:t>
      </w:r>
    </w:p>
    <w:p w14:paraId="00EF32B3">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新泉河：由主河道始于朋口镇朋口村的宣和溪与湖峰河汇合口，沿途流经朋口、新泉，至新泉镇车头村为终点，其上游是朋口溪，朋口溪向南汇合莒溪河、竹溪、岩背溪、畲部溪等诸小河流后称为新泉河。沿河两岸100米范围或第一重山内区域。</w:t>
      </w:r>
    </w:p>
    <w:p w14:paraId="7378BDC3">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（四）庙前溪：由连城县庙前镇与上杭县古田镇交界处为起点，至庙前溪与旧县河汇合口为终点。沿河两岸100米范围或第一重山内区域。</w:t>
      </w:r>
    </w:p>
    <w:p w14:paraId="7A14DFA4">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（五）莒溪河：由连城县莒溪镇集镇下游为起点，至莒溪河与旧县河汇合口为重点。沿河两岸100米范围或第一重山内区域。</w:t>
      </w:r>
    </w:p>
    <w:p w14:paraId="0DD4A16C">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三、九龙江流域蒲竹溪：由曲溪乡蒲溪村为起点，至莒溪镇与新罗区万安镇交界处为终点。沿河两岸200米范围或第一重山内区域。</w:t>
      </w:r>
    </w:p>
    <w:p w14:paraId="2123623E">
      <w:pPr>
        <w:ind w:firstLine="640" w:firstLineChars="200"/>
        <w:rPr>
          <w:rFonts w:ascii="Times New Roman" w:hAnsi="Times New Roman" w:eastAsia="仿宋_GB2312" w:cs="Times New Roman"/>
          <w:sz w:val="32"/>
          <w:szCs w:val="32"/>
        </w:rPr>
      </w:pPr>
    </w:p>
    <w:p w14:paraId="7B977EDD">
      <w:pPr>
        <w:ind w:firstLine="640" w:firstLineChars="200"/>
        <w:rPr>
          <w:rFonts w:ascii="Times New Roman" w:hAnsi="Times New Roman" w:eastAsia="仿宋_GB2312" w:cs="Times New Roman"/>
          <w:sz w:val="32"/>
          <w:szCs w:val="32"/>
        </w:rPr>
      </w:pPr>
    </w:p>
    <w:p w14:paraId="3407E6B8">
      <w:pPr>
        <w:ind w:firstLine="640" w:firstLineChars="200"/>
        <w:rPr>
          <w:rFonts w:ascii="Times New Roman" w:hAnsi="Times New Roman" w:eastAsia="仿宋_GB2312" w:cs="Times New Roman"/>
          <w:sz w:val="32"/>
          <w:szCs w:val="32"/>
        </w:rPr>
      </w:pPr>
    </w:p>
    <w:p w14:paraId="16D9BAD8">
      <w:pPr>
        <w:ind w:firstLine="640" w:firstLineChars="200"/>
        <w:rPr>
          <w:rFonts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3D900EE8">
      <w:pP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附件2：</w:t>
      </w:r>
    </w:p>
    <w:p w14:paraId="09E64B86">
      <w:pPr>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城镇总体规划范围</w:t>
      </w:r>
    </w:p>
    <w:p w14:paraId="0C472EDC">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1.连城县城区控制用地范围为：连城县城区控制用地范围为：东起观景路、莲塘路；南至江林大道、朱坊村、江坊村；西至浦梅铁路线；北至揭隔线。</w:t>
      </w:r>
    </w:p>
    <w:p w14:paraId="61C34434">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2.庙前镇：规划区范围包括现状庙前、庙上、吕坊、水北、</w:t>
      </w:r>
      <w:r>
        <w:rPr>
          <w:rFonts w:ascii="Times New Roman" w:hAnsi="Times New Roman" w:eastAsia="微软雅黑" w:cs="Times New Roman"/>
          <w:sz w:val="32"/>
          <w:szCs w:val="32"/>
        </w:rPr>
        <w:t>垀</w:t>
      </w:r>
      <w:r>
        <w:rPr>
          <w:rFonts w:ascii="Times New Roman" w:hAnsi="Times New Roman" w:eastAsia="仿宋_GB2312" w:cs="Times New Roman"/>
          <w:sz w:val="32"/>
          <w:szCs w:val="32"/>
        </w:rPr>
        <w:t>头、芷溪、芷红、芷星及芷民九个行政村的部分地域范围。</w:t>
      </w:r>
    </w:p>
    <w:p w14:paraId="2ED19291">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3.新泉镇：规划区范围包括现状新泉、西村、北村、官庄、乐江、乐联及联溪七个行政村的部分地域范围。</w:t>
      </w:r>
    </w:p>
    <w:p w14:paraId="5F991288">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4.莒溪镇：规划区范围以老镇区为基础，向北、西、南三面扩展，包括了目前莒溪镇区所在地莒市村、莒莲村以及纳入规划区范围的壁洲村、墙里村、墩坑村及詹坑村的部分用地。</w:t>
      </w:r>
    </w:p>
    <w:p w14:paraId="651BCB48">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5.朋口镇：规划区范围为朋口镇镇区包括朋口村、张家营村、天马村三个行政村的范围。</w:t>
      </w:r>
    </w:p>
    <w:p w14:paraId="52535ACF">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6.宣和镇：规划区范围为集镇建成区及集镇区发展与建设需要必须实行规划控制的区域范围。</w:t>
      </w:r>
    </w:p>
    <w:p w14:paraId="4E978E57">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7.文亨镇：规划区范围包括镇区、离镇区较近、对镇区建设和发展需要实行控制的区域。</w:t>
      </w:r>
    </w:p>
    <w:p w14:paraId="534C2ADD">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8.姑田镇：规划区范围为东南至永武高速公路姑田镇区段（包含高速互通口）； 西至西山；北至城兜村，包括城兜、溪口、后洋、华珑、上堡、中堡、下堡七个村和一个居委会的地域。</w:t>
      </w:r>
    </w:p>
    <w:p w14:paraId="2BADFC9E">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9.赖源乡：规划区范围为集镇建成区及集镇区发展与建设需要必须实行规划控制的区域范围。</w:t>
      </w:r>
    </w:p>
    <w:p w14:paraId="244E50E1">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10.曲溪乡：规划区范围为集镇建成区及集镇区发展与建设需要必须实行规划控制的区域范围。</w:t>
      </w:r>
    </w:p>
    <w:p w14:paraId="70C9EDD9">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11.北团镇：规划区范围为东北至柯坊村；南至北清线与204省道交界处；西至上江村；北至盆地山麓，包括上江、溪尾、孙台、江园、老营、许坊、罗王、下江八个村和北团镇区地域</w:t>
      </w:r>
    </w:p>
    <w:p w14:paraId="2F05319C">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12.四堡镇：规划区范围涉及雾阁、田茶、四桥、中南、双泉及团结等6个行政村。</w:t>
      </w:r>
    </w:p>
    <w:p w14:paraId="22C7D092">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13.隔川镇：规划区范围包括竹叶山村、井坑村全部，联益村、隔川村、朱余村、新营村、隔田村部分用地。</w:t>
      </w:r>
    </w:p>
    <w:p w14:paraId="6522C2E1">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14.罗坊乡：规划区范围东至661县道（文清公路罗宣段）右侧山麓；南至肖坑村；西至岗头村、文夫村的山麓；北至下罗村鱼塘，包括文夫村、岗头村、肖坑村及镇区（上罗村和下罗村）。</w:t>
      </w:r>
    </w:p>
    <w:p w14:paraId="1F23CB22">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15.塘前乡：规划区范围包括上琴村、塘前村、水源村等部分用地，具体范围为：以老集镇区为中心，东向至自然山体；向南至冠豸山风景名胜区界线；西至新规划695县逋西侧700 米；北至上琴村北侧1100米。</w:t>
      </w:r>
    </w:p>
    <w:p w14:paraId="43A00076">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16.林坊镇：规划区范围东至乡域界线；南至庐屋村；西至204省道左侧山麓；北至规划建设中的江林大道，包括岗尾村、林联村、林塘村、林丘村、塘丘村、大梨村、庐屋村及陂桥村。</w:t>
      </w:r>
    </w:p>
    <w:p w14:paraId="42CB775B">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17.揭乐乡：规划区总面积为5. 2 1平方公里， 包括揭乐和吕屋两个行政村用地。</w:t>
      </w:r>
    </w:p>
    <w:p w14:paraId="5324F710">
      <w:pPr>
        <w:ind w:firstLine="640" w:firstLineChars="200"/>
        <w:rPr>
          <w:rFonts w:ascii="Times New Roman" w:hAnsi="Times New Roman" w:eastAsia="仿宋_GB2312" w:cs="Times New Roman"/>
          <w:sz w:val="32"/>
          <w:szCs w:val="32"/>
        </w:rPr>
      </w:pPr>
    </w:p>
    <w:p w14:paraId="1210E050">
      <w:pPr>
        <w:ind w:firstLine="640" w:firstLineChars="200"/>
        <w:rPr>
          <w:rFonts w:ascii="Times New Roman" w:hAnsi="Times New Roman" w:eastAsia="仿宋_GB2312" w:cs="Times New Roman"/>
          <w:sz w:val="32"/>
          <w:szCs w:val="32"/>
        </w:rPr>
      </w:pPr>
    </w:p>
    <w:p w14:paraId="62496AC2">
      <w:pPr>
        <w:ind w:firstLine="640" w:firstLineChars="200"/>
        <w:rPr>
          <w:rFonts w:ascii="Times New Roman" w:hAnsi="Times New Roman" w:eastAsia="仿宋_GB2312" w:cs="Times New Roman"/>
          <w:sz w:val="32"/>
          <w:szCs w:val="32"/>
        </w:rPr>
      </w:pPr>
    </w:p>
    <w:p w14:paraId="3C3B7F4C">
      <w:pPr>
        <w:ind w:firstLine="640" w:firstLineChars="200"/>
        <w:rPr>
          <w:rFonts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20D49767">
      <w:pP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附件3：</w:t>
      </w:r>
    </w:p>
    <w:p w14:paraId="6F2F3191">
      <w:pPr>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连城县县级城市集中式饮用水水源名单</w:t>
      </w:r>
    </w:p>
    <w:tbl>
      <w:tblPr>
        <w:tblStyle w:val="15"/>
        <w:tblW w:w="14012" w:type="dxa"/>
        <w:tblInd w:w="0" w:type="dxa"/>
        <w:shd w:val="clear" w:color="auto" w:fill="FFFFFF"/>
        <w:tblLayout w:type="fixed"/>
        <w:tblCellMar>
          <w:top w:w="0" w:type="dxa"/>
          <w:left w:w="0" w:type="dxa"/>
          <w:bottom w:w="0" w:type="dxa"/>
          <w:right w:w="0" w:type="dxa"/>
        </w:tblCellMar>
      </w:tblPr>
      <w:tblGrid>
        <w:gridCol w:w="650"/>
        <w:gridCol w:w="1056"/>
        <w:gridCol w:w="1982"/>
        <w:gridCol w:w="1182"/>
        <w:gridCol w:w="2001"/>
        <w:gridCol w:w="2486"/>
        <w:gridCol w:w="3107"/>
        <w:gridCol w:w="1548"/>
      </w:tblGrid>
      <w:tr w14:paraId="5718F538">
        <w:tblPrEx>
          <w:shd w:val="clear" w:color="auto" w:fill="FFFFFF"/>
          <w:tblCellMar>
            <w:top w:w="0" w:type="dxa"/>
            <w:left w:w="0" w:type="dxa"/>
            <w:bottom w:w="0" w:type="dxa"/>
            <w:right w:w="0" w:type="dxa"/>
          </w:tblCellMar>
        </w:tblPrEx>
        <w:trPr>
          <w:trHeight w:val="583" w:hRule="atLeast"/>
          <w:tblHeader/>
        </w:trPr>
        <w:tc>
          <w:tcPr>
            <w:tcW w:w="6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5" w:type="dxa"/>
              <w:bottom w:w="0" w:type="dxa"/>
              <w:right w:w="15" w:type="dxa"/>
            </w:tcMar>
            <w:vAlign w:val="center"/>
          </w:tcPr>
          <w:p w14:paraId="70497C67">
            <w:pPr>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序号</w:t>
            </w:r>
          </w:p>
        </w:tc>
        <w:tc>
          <w:tcPr>
            <w:tcW w:w="1056" w:type="dxa"/>
            <w:tcBorders>
              <w:top w:val="single" w:color="000000" w:sz="8" w:space="0"/>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4E367CE5">
            <w:pPr>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所在地</w:t>
            </w:r>
          </w:p>
        </w:tc>
        <w:tc>
          <w:tcPr>
            <w:tcW w:w="1982" w:type="dxa"/>
            <w:tcBorders>
              <w:top w:val="single" w:color="000000" w:sz="8" w:space="0"/>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1B62323D">
            <w:pPr>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水源地名称</w:t>
            </w:r>
          </w:p>
        </w:tc>
        <w:tc>
          <w:tcPr>
            <w:tcW w:w="1182" w:type="dxa"/>
            <w:tcBorders>
              <w:top w:val="single" w:color="000000" w:sz="8" w:space="0"/>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212E07DB">
            <w:pPr>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水源类型</w:t>
            </w:r>
          </w:p>
        </w:tc>
        <w:tc>
          <w:tcPr>
            <w:tcW w:w="2001" w:type="dxa"/>
            <w:tcBorders>
              <w:top w:val="single" w:color="000000" w:sz="8" w:space="0"/>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7DF03126">
            <w:pPr>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取水口坐标</w:t>
            </w:r>
          </w:p>
        </w:tc>
        <w:tc>
          <w:tcPr>
            <w:tcW w:w="2486" w:type="dxa"/>
            <w:tcBorders>
              <w:top w:val="single" w:color="000000" w:sz="8" w:space="0"/>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029A81C9">
            <w:pPr>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一级保护区范围</w:t>
            </w:r>
          </w:p>
        </w:tc>
        <w:tc>
          <w:tcPr>
            <w:tcW w:w="3107" w:type="dxa"/>
            <w:tcBorders>
              <w:top w:val="single" w:color="000000" w:sz="8" w:space="0"/>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7C719C9C">
            <w:pPr>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二级保护区范围</w:t>
            </w:r>
          </w:p>
        </w:tc>
        <w:tc>
          <w:tcPr>
            <w:tcW w:w="1548" w:type="dxa"/>
            <w:tcBorders>
              <w:top w:val="single" w:color="000000" w:sz="8" w:space="0"/>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2D920D67">
            <w:pPr>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划定批复文件文号</w:t>
            </w:r>
          </w:p>
        </w:tc>
      </w:tr>
      <w:tr w14:paraId="26B1647D">
        <w:tblPrEx>
          <w:shd w:val="clear" w:color="auto" w:fill="FFFFFF"/>
          <w:tblCellMar>
            <w:top w:w="0" w:type="dxa"/>
            <w:left w:w="0" w:type="dxa"/>
            <w:bottom w:w="0" w:type="dxa"/>
            <w:right w:w="0" w:type="dxa"/>
          </w:tblCellMar>
        </w:tblPrEx>
        <w:trPr>
          <w:trHeight w:val="685" w:hRule="atLeast"/>
        </w:trPr>
        <w:tc>
          <w:tcPr>
            <w:tcW w:w="650" w:type="dxa"/>
            <w:tcBorders>
              <w:top w:val="nil"/>
              <w:left w:val="single" w:color="000000" w:sz="8" w:space="0"/>
              <w:bottom w:val="single" w:color="000000" w:sz="8" w:space="0"/>
              <w:right w:val="single" w:color="000000" w:sz="8" w:space="0"/>
            </w:tcBorders>
            <w:shd w:val="clear" w:color="auto" w:fill="FFFFFF"/>
            <w:tcMar>
              <w:top w:w="0" w:type="dxa"/>
              <w:left w:w="15" w:type="dxa"/>
              <w:bottom w:w="0" w:type="dxa"/>
              <w:right w:w="15" w:type="dxa"/>
            </w:tcMar>
            <w:vAlign w:val="center"/>
          </w:tcPr>
          <w:p w14:paraId="7384462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105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348413B8">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连城县隔川乡</w:t>
            </w:r>
          </w:p>
        </w:tc>
        <w:tc>
          <w:tcPr>
            <w:tcW w:w="19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49F553AF">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连城县竹光水厂</w:t>
            </w:r>
          </w:p>
        </w:tc>
        <w:tc>
          <w:tcPr>
            <w:tcW w:w="11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6398323F">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地下水</w:t>
            </w:r>
          </w:p>
        </w:tc>
        <w:tc>
          <w:tcPr>
            <w:tcW w:w="2001"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60CC744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116°44′48.9″，25°44′27.3″</w:t>
            </w:r>
          </w:p>
        </w:tc>
        <w:tc>
          <w:tcPr>
            <w:tcW w:w="248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1E959605">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取水点周围半径50米</w:t>
            </w:r>
          </w:p>
        </w:tc>
        <w:tc>
          <w:tcPr>
            <w:tcW w:w="3107"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6BA90991">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不设</w:t>
            </w:r>
          </w:p>
        </w:tc>
        <w:tc>
          <w:tcPr>
            <w:tcW w:w="1548"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4EE0F204">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闽政文〔2015〕218号</w:t>
            </w:r>
          </w:p>
        </w:tc>
      </w:tr>
      <w:tr w14:paraId="59A78BBE">
        <w:tblPrEx>
          <w:shd w:val="clear" w:color="auto" w:fill="FFFFFF"/>
          <w:tblCellMar>
            <w:top w:w="0" w:type="dxa"/>
            <w:left w:w="0" w:type="dxa"/>
            <w:bottom w:w="0" w:type="dxa"/>
            <w:right w:w="0" w:type="dxa"/>
          </w:tblCellMar>
        </w:tblPrEx>
        <w:trPr>
          <w:trHeight w:val="685" w:hRule="atLeast"/>
        </w:trPr>
        <w:tc>
          <w:tcPr>
            <w:tcW w:w="650" w:type="dxa"/>
            <w:tcBorders>
              <w:top w:val="nil"/>
              <w:left w:val="single" w:color="000000" w:sz="8" w:space="0"/>
              <w:bottom w:val="single" w:color="000000" w:sz="8" w:space="0"/>
              <w:right w:val="single" w:color="000000" w:sz="8" w:space="0"/>
            </w:tcBorders>
            <w:shd w:val="clear" w:color="auto" w:fill="FFFFFF"/>
            <w:tcMar>
              <w:top w:w="0" w:type="dxa"/>
              <w:left w:w="15" w:type="dxa"/>
              <w:bottom w:w="0" w:type="dxa"/>
              <w:right w:w="15" w:type="dxa"/>
            </w:tcMar>
            <w:vAlign w:val="center"/>
          </w:tcPr>
          <w:p w14:paraId="7E68CB80">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105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1553E144">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连城县隔川乡</w:t>
            </w:r>
          </w:p>
        </w:tc>
        <w:tc>
          <w:tcPr>
            <w:tcW w:w="19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4DF5B99B">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连城县波洋水厂</w:t>
            </w:r>
          </w:p>
        </w:tc>
        <w:tc>
          <w:tcPr>
            <w:tcW w:w="11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66DE4938">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地下水</w:t>
            </w:r>
          </w:p>
        </w:tc>
        <w:tc>
          <w:tcPr>
            <w:tcW w:w="2001"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78ABE858">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116°43′56.2″，</w:t>
            </w:r>
            <w:r>
              <w:rPr>
                <w:rFonts w:ascii="Times New Roman" w:hAnsi="Times New Roman" w:eastAsia="仿宋_GB2312" w:cs="Times New Roman"/>
                <w:sz w:val="24"/>
                <w:szCs w:val="24"/>
              </w:rPr>
              <w:br w:type="textWrapping"/>
            </w:r>
            <w:r>
              <w:rPr>
                <w:rFonts w:ascii="Times New Roman" w:hAnsi="Times New Roman" w:eastAsia="仿宋_GB2312" w:cs="Times New Roman"/>
                <w:sz w:val="24"/>
                <w:szCs w:val="24"/>
              </w:rPr>
              <w:t>25°44′17.7″</w:t>
            </w:r>
          </w:p>
        </w:tc>
        <w:tc>
          <w:tcPr>
            <w:tcW w:w="248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75FD7399">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取水点周围半径50米</w:t>
            </w:r>
          </w:p>
        </w:tc>
        <w:tc>
          <w:tcPr>
            <w:tcW w:w="3107"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1748A9B3">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不设</w:t>
            </w:r>
          </w:p>
        </w:tc>
        <w:tc>
          <w:tcPr>
            <w:tcW w:w="1548"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59A2E7E8">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闽政文〔2015〕218号</w:t>
            </w:r>
          </w:p>
        </w:tc>
      </w:tr>
      <w:tr w14:paraId="77F8A573">
        <w:tblPrEx>
          <w:shd w:val="clear" w:color="auto" w:fill="FFFFFF"/>
          <w:tblCellMar>
            <w:top w:w="0" w:type="dxa"/>
            <w:left w:w="0" w:type="dxa"/>
            <w:bottom w:w="0" w:type="dxa"/>
            <w:right w:w="0" w:type="dxa"/>
          </w:tblCellMar>
        </w:tblPrEx>
        <w:trPr>
          <w:trHeight w:val="685" w:hRule="atLeast"/>
        </w:trPr>
        <w:tc>
          <w:tcPr>
            <w:tcW w:w="650" w:type="dxa"/>
            <w:tcBorders>
              <w:top w:val="nil"/>
              <w:left w:val="single" w:color="000000" w:sz="8" w:space="0"/>
              <w:bottom w:val="single" w:color="000000" w:sz="8" w:space="0"/>
              <w:right w:val="single" w:color="000000" w:sz="8" w:space="0"/>
            </w:tcBorders>
            <w:shd w:val="clear" w:color="auto" w:fill="FFFFFF"/>
            <w:tcMar>
              <w:top w:w="0" w:type="dxa"/>
              <w:left w:w="15" w:type="dxa"/>
              <w:bottom w:w="0" w:type="dxa"/>
              <w:right w:w="15" w:type="dxa"/>
            </w:tcMar>
            <w:vAlign w:val="center"/>
          </w:tcPr>
          <w:p w14:paraId="0BA8D769">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3</w:t>
            </w:r>
          </w:p>
        </w:tc>
        <w:tc>
          <w:tcPr>
            <w:tcW w:w="105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675C9363">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连城县罗坊乡</w:t>
            </w:r>
          </w:p>
        </w:tc>
        <w:tc>
          <w:tcPr>
            <w:tcW w:w="19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658F184D">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罗坊鲜水塘水源地</w:t>
            </w:r>
          </w:p>
        </w:tc>
        <w:tc>
          <w:tcPr>
            <w:tcW w:w="11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3DA42BEC">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地下水</w:t>
            </w:r>
          </w:p>
        </w:tc>
        <w:tc>
          <w:tcPr>
            <w:tcW w:w="2001"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5E35D06E">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116°41′52.1″，</w:t>
            </w:r>
            <w:r>
              <w:rPr>
                <w:rFonts w:ascii="Times New Roman" w:hAnsi="Times New Roman" w:eastAsia="仿宋_GB2312" w:cs="Times New Roman"/>
                <w:sz w:val="24"/>
                <w:szCs w:val="24"/>
              </w:rPr>
              <w:br w:type="textWrapping"/>
            </w:r>
            <w:r>
              <w:rPr>
                <w:rFonts w:ascii="Times New Roman" w:hAnsi="Times New Roman" w:eastAsia="仿宋_GB2312" w:cs="Times New Roman"/>
                <w:sz w:val="24"/>
                <w:szCs w:val="24"/>
              </w:rPr>
              <w:t>25°46′20.5″</w:t>
            </w:r>
          </w:p>
        </w:tc>
        <w:tc>
          <w:tcPr>
            <w:tcW w:w="248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5189E1AE">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取水点周围半径50米</w:t>
            </w:r>
          </w:p>
        </w:tc>
        <w:tc>
          <w:tcPr>
            <w:tcW w:w="3107"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31A3A242">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不设</w:t>
            </w:r>
          </w:p>
        </w:tc>
        <w:tc>
          <w:tcPr>
            <w:tcW w:w="1548"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6D9493D8">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闽政文〔2015〕218号</w:t>
            </w:r>
          </w:p>
        </w:tc>
      </w:tr>
      <w:tr w14:paraId="2B9417F5">
        <w:tblPrEx>
          <w:shd w:val="clear" w:color="auto" w:fill="FFFFFF"/>
          <w:tblCellMar>
            <w:top w:w="0" w:type="dxa"/>
            <w:left w:w="0" w:type="dxa"/>
            <w:bottom w:w="0" w:type="dxa"/>
            <w:right w:w="0" w:type="dxa"/>
          </w:tblCellMar>
        </w:tblPrEx>
        <w:trPr>
          <w:trHeight w:val="685" w:hRule="atLeast"/>
        </w:trPr>
        <w:tc>
          <w:tcPr>
            <w:tcW w:w="650" w:type="dxa"/>
            <w:tcBorders>
              <w:top w:val="nil"/>
              <w:left w:val="single" w:color="000000" w:sz="8" w:space="0"/>
              <w:bottom w:val="single" w:color="000000" w:sz="8" w:space="0"/>
              <w:right w:val="single" w:color="000000" w:sz="8" w:space="0"/>
            </w:tcBorders>
            <w:shd w:val="clear" w:color="auto" w:fill="FFFFFF"/>
            <w:tcMar>
              <w:top w:w="0" w:type="dxa"/>
              <w:left w:w="15" w:type="dxa"/>
              <w:bottom w:w="0" w:type="dxa"/>
              <w:right w:w="15" w:type="dxa"/>
            </w:tcMar>
            <w:vAlign w:val="center"/>
          </w:tcPr>
          <w:p w14:paraId="18F020D8">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w:t>
            </w:r>
          </w:p>
        </w:tc>
        <w:tc>
          <w:tcPr>
            <w:tcW w:w="105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4F28BFE1">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连城县莲峰镇</w:t>
            </w:r>
          </w:p>
        </w:tc>
        <w:tc>
          <w:tcPr>
            <w:tcW w:w="19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69560A87">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连城县姚坪水厂</w:t>
            </w:r>
          </w:p>
        </w:tc>
        <w:tc>
          <w:tcPr>
            <w:tcW w:w="11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24DEDD8C">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地下水</w:t>
            </w:r>
          </w:p>
        </w:tc>
        <w:tc>
          <w:tcPr>
            <w:tcW w:w="2001"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14E60B0B">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116°43′39.47″，</w:t>
            </w:r>
            <w:r>
              <w:rPr>
                <w:rFonts w:ascii="Times New Roman" w:hAnsi="Times New Roman" w:eastAsia="仿宋_GB2312" w:cs="Times New Roman"/>
                <w:sz w:val="24"/>
                <w:szCs w:val="24"/>
              </w:rPr>
              <w:br w:type="textWrapping"/>
            </w:r>
            <w:r>
              <w:rPr>
                <w:rFonts w:ascii="Times New Roman" w:hAnsi="Times New Roman" w:eastAsia="仿宋_GB2312" w:cs="Times New Roman"/>
                <w:sz w:val="24"/>
                <w:szCs w:val="24"/>
              </w:rPr>
              <w:t>25°43′30.07″</w:t>
            </w:r>
          </w:p>
        </w:tc>
        <w:tc>
          <w:tcPr>
            <w:tcW w:w="248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58426DE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取水点周围半径50米</w:t>
            </w:r>
          </w:p>
        </w:tc>
        <w:tc>
          <w:tcPr>
            <w:tcW w:w="3107"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077F06A5">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不设</w:t>
            </w:r>
          </w:p>
        </w:tc>
        <w:tc>
          <w:tcPr>
            <w:tcW w:w="1548"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2F2EA59C">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闽政文〔2015〕218号</w:t>
            </w:r>
          </w:p>
        </w:tc>
      </w:tr>
      <w:tr w14:paraId="0C16E390">
        <w:tblPrEx>
          <w:shd w:val="clear" w:color="auto" w:fill="FFFFFF"/>
          <w:tblCellMar>
            <w:top w:w="0" w:type="dxa"/>
            <w:left w:w="0" w:type="dxa"/>
            <w:bottom w:w="0" w:type="dxa"/>
            <w:right w:w="0" w:type="dxa"/>
          </w:tblCellMar>
        </w:tblPrEx>
        <w:trPr>
          <w:trHeight w:val="2707" w:hRule="atLeast"/>
        </w:trPr>
        <w:tc>
          <w:tcPr>
            <w:tcW w:w="650" w:type="dxa"/>
            <w:tcBorders>
              <w:top w:val="nil"/>
              <w:left w:val="single" w:color="000000" w:sz="8" w:space="0"/>
              <w:bottom w:val="single" w:color="000000" w:sz="8" w:space="0"/>
              <w:right w:val="single" w:color="000000" w:sz="8" w:space="0"/>
            </w:tcBorders>
            <w:shd w:val="clear" w:color="auto" w:fill="FFFFFF"/>
            <w:tcMar>
              <w:top w:w="0" w:type="dxa"/>
              <w:left w:w="15" w:type="dxa"/>
              <w:bottom w:w="0" w:type="dxa"/>
              <w:right w:w="15" w:type="dxa"/>
            </w:tcMar>
            <w:vAlign w:val="center"/>
          </w:tcPr>
          <w:p w14:paraId="6B67D403">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105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093D7845">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连城县北团镇</w:t>
            </w:r>
          </w:p>
        </w:tc>
        <w:tc>
          <w:tcPr>
            <w:tcW w:w="19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163BA83D">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连城县城区第二水源北团河饮用水水源保护区</w:t>
            </w:r>
          </w:p>
        </w:tc>
        <w:tc>
          <w:tcPr>
            <w:tcW w:w="1182"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09B1F658">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地表水</w:t>
            </w:r>
          </w:p>
        </w:tc>
        <w:tc>
          <w:tcPr>
            <w:tcW w:w="2001"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0B443AB4">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116°41'00.76"，</w:t>
            </w:r>
            <w:r>
              <w:rPr>
                <w:rFonts w:ascii="Times New Roman" w:hAnsi="Times New Roman" w:eastAsia="仿宋_GB2312" w:cs="Times New Roman"/>
                <w:sz w:val="24"/>
                <w:szCs w:val="24"/>
              </w:rPr>
              <w:br w:type="textWrapping"/>
            </w:r>
            <w:r>
              <w:rPr>
                <w:rFonts w:ascii="Times New Roman" w:hAnsi="Times New Roman" w:eastAsia="仿宋_GB2312" w:cs="Times New Roman"/>
                <w:sz w:val="24"/>
                <w:szCs w:val="24"/>
              </w:rPr>
              <w:t>25°51'59.17"</w:t>
            </w:r>
          </w:p>
        </w:tc>
        <w:tc>
          <w:tcPr>
            <w:tcW w:w="2486"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538CCFB9">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连城县北团镇蕉坑水库大坝沿北团河上溯至上游1500米范围水域，腊坑溪、长坑溪与北团河两个交汇口分别沿腊坑溪、长坑溪上溯至交汇口上游500米范围的水域以及该水域两侧沿岸外延50米范围陆域。</w:t>
            </w:r>
          </w:p>
        </w:tc>
        <w:tc>
          <w:tcPr>
            <w:tcW w:w="3107"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5C09DF38">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连城县北团镇蕉坑水库大坝上溯至埠头桥（不含桥）范围水域，腊坑溪、长坑溪、埠头溪与北团河三个交汇口分别沿腊坑溪、长坑溪、埠头溪上溯至交汇口上游1000米范围的水域以及该水域两侧沿岸外延至一重山山脊范围陆域。</w:t>
            </w:r>
          </w:p>
        </w:tc>
        <w:tc>
          <w:tcPr>
            <w:tcW w:w="1548" w:type="dxa"/>
            <w:tcBorders>
              <w:top w:val="nil"/>
              <w:left w:val="nil"/>
              <w:bottom w:val="single" w:color="000000" w:sz="8" w:space="0"/>
              <w:right w:val="single" w:color="000000" w:sz="8" w:space="0"/>
            </w:tcBorders>
            <w:shd w:val="clear" w:color="auto" w:fill="FFFFFF"/>
            <w:tcMar>
              <w:top w:w="0" w:type="dxa"/>
              <w:left w:w="15" w:type="dxa"/>
              <w:bottom w:w="0" w:type="dxa"/>
              <w:right w:w="15" w:type="dxa"/>
            </w:tcMar>
            <w:vAlign w:val="center"/>
          </w:tcPr>
          <w:p w14:paraId="01C56095">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闽政文〔2019〕23号</w:t>
            </w:r>
          </w:p>
        </w:tc>
      </w:tr>
    </w:tbl>
    <w:p w14:paraId="50F5F0A9">
      <w:pPr>
        <w:rPr>
          <w:rFonts w:ascii="Times New Roman" w:hAnsi="Times New Roman" w:eastAsia="仿宋_GB2312" w:cs="Times New Roman"/>
          <w:sz w:val="32"/>
          <w:szCs w:val="32"/>
        </w:rPr>
      </w:pPr>
    </w:p>
    <w:p w14:paraId="23A0AB83">
      <w:pPr>
        <w:rPr>
          <w:rFonts w:ascii="Times New Roman" w:hAnsi="Times New Roman" w:eastAsia="仿宋_GB2312" w:cs="Times New Roman"/>
          <w:sz w:val="32"/>
          <w:szCs w:val="32"/>
        </w:rPr>
        <w:sectPr>
          <w:pgSz w:w="16838" w:h="11906" w:orient="landscape"/>
          <w:pgMar w:top="1800" w:right="1440" w:bottom="1800" w:left="1440" w:header="851" w:footer="992" w:gutter="0"/>
          <w:cols w:space="425" w:num="1"/>
          <w:docGrid w:type="lines" w:linePitch="312" w:charSpace="0"/>
        </w:sectPr>
      </w:pPr>
    </w:p>
    <w:p w14:paraId="498F0DA2">
      <w:pP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附件4：</w:t>
      </w:r>
    </w:p>
    <w:p w14:paraId="30E20982">
      <w:pPr>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连城县集镇集中式生活饮用水源保护区划</w:t>
      </w:r>
    </w:p>
    <w:tbl>
      <w:tblPr>
        <w:tblStyle w:val="15"/>
        <w:tblW w:w="13726" w:type="dxa"/>
        <w:tblInd w:w="0" w:type="dxa"/>
        <w:tblLayout w:type="fixed"/>
        <w:tblCellMar>
          <w:top w:w="0" w:type="dxa"/>
          <w:left w:w="108" w:type="dxa"/>
          <w:bottom w:w="0" w:type="dxa"/>
          <w:right w:w="108" w:type="dxa"/>
        </w:tblCellMar>
      </w:tblPr>
      <w:tblGrid>
        <w:gridCol w:w="846"/>
        <w:gridCol w:w="1559"/>
        <w:gridCol w:w="1134"/>
        <w:gridCol w:w="1418"/>
        <w:gridCol w:w="4110"/>
        <w:gridCol w:w="4659"/>
      </w:tblGrid>
      <w:tr w14:paraId="1D74AE6F">
        <w:tblPrEx>
          <w:tblCellMar>
            <w:top w:w="0" w:type="dxa"/>
            <w:left w:w="108" w:type="dxa"/>
            <w:bottom w:w="0" w:type="dxa"/>
            <w:right w:w="108" w:type="dxa"/>
          </w:tblCellMar>
        </w:tblPrEx>
        <w:trPr>
          <w:trHeight w:val="284" w:hRule="atLeast"/>
          <w:tblHeader/>
        </w:trPr>
        <w:tc>
          <w:tcPr>
            <w:tcW w:w="846" w:type="dxa"/>
            <w:tcBorders>
              <w:top w:val="single" w:color="auto" w:sz="4" w:space="0"/>
              <w:left w:val="single" w:color="auto" w:sz="4" w:space="0"/>
              <w:bottom w:val="single" w:color="auto" w:sz="4" w:space="0"/>
              <w:right w:val="single" w:color="auto" w:sz="4" w:space="0"/>
            </w:tcBorders>
            <w:noWrap/>
            <w:vAlign w:val="center"/>
          </w:tcPr>
          <w:p w14:paraId="3E81BDF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序号</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1262BDE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水厂名称</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711BE75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取水点</w:t>
            </w:r>
          </w:p>
        </w:tc>
        <w:tc>
          <w:tcPr>
            <w:tcW w:w="1418" w:type="dxa"/>
            <w:tcBorders>
              <w:top w:val="single" w:color="auto" w:sz="4" w:space="0"/>
              <w:left w:val="nil"/>
              <w:bottom w:val="single" w:color="auto" w:sz="4" w:space="0"/>
              <w:right w:val="single" w:color="auto" w:sz="4" w:space="0"/>
            </w:tcBorders>
            <w:shd w:val="clear" w:color="000000" w:fill="FFFFFF"/>
            <w:vAlign w:val="center"/>
          </w:tcPr>
          <w:p w14:paraId="5687A73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水源类型</w:t>
            </w:r>
          </w:p>
        </w:tc>
        <w:tc>
          <w:tcPr>
            <w:tcW w:w="4110" w:type="dxa"/>
            <w:tcBorders>
              <w:top w:val="single" w:color="auto" w:sz="4" w:space="0"/>
              <w:left w:val="nil"/>
              <w:bottom w:val="single" w:color="auto" w:sz="4" w:space="0"/>
              <w:right w:val="single" w:color="auto" w:sz="4" w:space="0"/>
            </w:tcBorders>
            <w:shd w:val="clear" w:color="000000" w:fill="FFFFFF"/>
            <w:vAlign w:val="center"/>
          </w:tcPr>
          <w:p w14:paraId="2D26A6F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一级保护区范围</w:t>
            </w:r>
          </w:p>
        </w:tc>
        <w:tc>
          <w:tcPr>
            <w:tcW w:w="4659" w:type="dxa"/>
            <w:tcBorders>
              <w:top w:val="single" w:color="auto" w:sz="4" w:space="0"/>
              <w:left w:val="nil"/>
              <w:bottom w:val="single" w:color="auto" w:sz="4" w:space="0"/>
              <w:right w:val="single" w:color="auto" w:sz="4" w:space="0"/>
            </w:tcBorders>
            <w:shd w:val="clear" w:color="000000" w:fill="FFFFFF"/>
            <w:vAlign w:val="center"/>
          </w:tcPr>
          <w:p w14:paraId="3EDF741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二级保护区范围</w:t>
            </w:r>
          </w:p>
        </w:tc>
      </w:tr>
      <w:tr w14:paraId="60D9046F">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20548E4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559" w:type="dxa"/>
            <w:tcBorders>
              <w:top w:val="nil"/>
              <w:left w:val="nil"/>
              <w:bottom w:val="single" w:color="auto" w:sz="4" w:space="0"/>
              <w:right w:val="single" w:color="auto" w:sz="4" w:space="0"/>
            </w:tcBorders>
            <w:shd w:val="clear" w:color="000000" w:fill="FFFFFF"/>
            <w:vAlign w:val="center"/>
          </w:tcPr>
          <w:p w14:paraId="66E2E4E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庙前镇自来水厂</w:t>
            </w:r>
          </w:p>
        </w:tc>
        <w:tc>
          <w:tcPr>
            <w:tcW w:w="1134" w:type="dxa"/>
            <w:tcBorders>
              <w:top w:val="nil"/>
              <w:left w:val="nil"/>
              <w:bottom w:val="single" w:color="auto" w:sz="4" w:space="0"/>
              <w:right w:val="single" w:color="auto" w:sz="4" w:space="0"/>
            </w:tcBorders>
            <w:shd w:val="clear" w:color="000000" w:fill="FFFFFF"/>
            <w:vAlign w:val="center"/>
          </w:tcPr>
          <w:p w14:paraId="2973503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将军山</w:t>
            </w:r>
          </w:p>
        </w:tc>
        <w:tc>
          <w:tcPr>
            <w:tcW w:w="1418" w:type="dxa"/>
            <w:tcBorders>
              <w:top w:val="nil"/>
              <w:left w:val="nil"/>
              <w:bottom w:val="single" w:color="auto" w:sz="4" w:space="0"/>
              <w:right w:val="single" w:color="auto" w:sz="4" w:space="0"/>
            </w:tcBorders>
            <w:shd w:val="clear" w:color="000000" w:fill="FFFFFF"/>
            <w:vAlign w:val="center"/>
          </w:tcPr>
          <w:p w14:paraId="47D9754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tcBorders>
              <w:top w:val="nil"/>
              <w:left w:val="nil"/>
              <w:bottom w:val="single" w:color="auto" w:sz="4" w:space="0"/>
              <w:right w:val="single" w:color="auto" w:sz="4" w:space="0"/>
            </w:tcBorders>
            <w:shd w:val="clear" w:color="000000" w:fill="FFFFFF"/>
            <w:vAlign w:val="center"/>
          </w:tcPr>
          <w:p w14:paraId="7C75AF3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取水点上游1000m内干流和小支流水体，及水体两侧一重山分水岭内的陆域范围。</w:t>
            </w:r>
          </w:p>
        </w:tc>
        <w:tc>
          <w:tcPr>
            <w:tcW w:w="4659" w:type="dxa"/>
            <w:tcBorders>
              <w:top w:val="nil"/>
              <w:left w:val="nil"/>
              <w:bottom w:val="single" w:color="auto" w:sz="4" w:space="0"/>
              <w:right w:val="single" w:color="auto" w:sz="4" w:space="0"/>
            </w:tcBorders>
            <w:shd w:val="clear" w:color="000000" w:fill="FFFFFF"/>
            <w:vAlign w:val="center"/>
          </w:tcPr>
          <w:p w14:paraId="49D08DB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一级保护区以上2000m内的干流支流水体，及水体两侧一重山分水岭内陆域范围。</w:t>
            </w:r>
          </w:p>
        </w:tc>
      </w:tr>
      <w:tr w14:paraId="4A0B7AC7">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008C128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559" w:type="dxa"/>
            <w:tcBorders>
              <w:top w:val="nil"/>
              <w:left w:val="nil"/>
              <w:bottom w:val="single" w:color="auto" w:sz="4" w:space="0"/>
              <w:right w:val="single" w:color="auto" w:sz="4" w:space="0"/>
            </w:tcBorders>
            <w:shd w:val="clear" w:color="000000" w:fill="FFFFFF"/>
            <w:vAlign w:val="center"/>
          </w:tcPr>
          <w:p w14:paraId="18B0B19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新泉镇自来水厂</w:t>
            </w:r>
          </w:p>
        </w:tc>
        <w:tc>
          <w:tcPr>
            <w:tcW w:w="1134" w:type="dxa"/>
            <w:tcBorders>
              <w:top w:val="nil"/>
              <w:left w:val="nil"/>
              <w:bottom w:val="single" w:color="auto" w:sz="4" w:space="0"/>
              <w:right w:val="single" w:color="auto" w:sz="4" w:space="0"/>
            </w:tcBorders>
            <w:shd w:val="clear" w:color="000000" w:fill="FFFFFF"/>
            <w:vAlign w:val="center"/>
          </w:tcPr>
          <w:p w14:paraId="4D98FBA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蜈蚣坑</w:t>
            </w:r>
          </w:p>
        </w:tc>
        <w:tc>
          <w:tcPr>
            <w:tcW w:w="1418" w:type="dxa"/>
            <w:tcBorders>
              <w:top w:val="nil"/>
              <w:left w:val="nil"/>
              <w:bottom w:val="single" w:color="auto" w:sz="4" w:space="0"/>
              <w:right w:val="single" w:color="auto" w:sz="4" w:space="0"/>
            </w:tcBorders>
            <w:shd w:val="clear" w:color="000000" w:fill="FFFFFF"/>
            <w:vAlign w:val="center"/>
          </w:tcPr>
          <w:p w14:paraId="00FB94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tcBorders>
              <w:top w:val="nil"/>
              <w:left w:val="nil"/>
              <w:bottom w:val="single" w:color="auto" w:sz="4" w:space="0"/>
              <w:right w:val="single" w:color="auto" w:sz="4" w:space="0"/>
            </w:tcBorders>
            <w:shd w:val="clear" w:color="000000" w:fill="FFFFFF"/>
            <w:vAlign w:val="center"/>
          </w:tcPr>
          <w:p w14:paraId="4E8FA98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取水点上游1000m内水体及水体两侧一重山的陆域范围。</w:t>
            </w:r>
          </w:p>
        </w:tc>
        <w:tc>
          <w:tcPr>
            <w:tcW w:w="4659" w:type="dxa"/>
            <w:tcBorders>
              <w:top w:val="nil"/>
              <w:left w:val="nil"/>
              <w:bottom w:val="single" w:color="auto" w:sz="4" w:space="0"/>
              <w:right w:val="single" w:color="auto" w:sz="4" w:space="0"/>
            </w:tcBorders>
            <w:shd w:val="clear" w:color="000000" w:fill="FFFFFF"/>
            <w:vAlign w:val="center"/>
          </w:tcPr>
          <w:p w14:paraId="7868081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无</w:t>
            </w:r>
          </w:p>
        </w:tc>
      </w:tr>
      <w:tr w14:paraId="1D4CAB52">
        <w:tblPrEx>
          <w:tblCellMar>
            <w:top w:w="0" w:type="dxa"/>
            <w:left w:w="108" w:type="dxa"/>
            <w:bottom w:w="0" w:type="dxa"/>
            <w:right w:w="108" w:type="dxa"/>
          </w:tblCellMar>
        </w:tblPrEx>
        <w:trPr>
          <w:trHeight w:val="284" w:hRule="atLeast"/>
        </w:trPr>
        <w:tc>
          <w:tcPr>
            <w:tcW w:w="846" w:type="dxa"/>
            <w:vMerge w:val="restart"/>
            <w:tcBorders>
              <w:top w:val="nil"/>
              <w:left w:val="single" w:color="auto" w:sz="4" w:space="0"/>
              <w:bottom w:val="single" w:color="auto" w:sz="4" w:space="0"/>
              <w:right w:val="single" w:color="auto" w:sz="4" w:space="0"/>
            </w:tcBorders>
            <w:noWrap/>
            <w:vAlign w:val="center"/>
          </w:tcPr>
          <w:p w14:paraId="3571FA1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559" w:type="dxa"/>
            <w:vMerge w:val="restart"/>
            <w:tcBorders>
              <w:top w:val="nil"/>
              <w:left w:val="single" w:color="auto" w:sz="4" w:space="0"/>
              <w:bottom w:val="single" w:color="auto" w:sz="4" w:space="0"/>
              <w:right w:val="single" w:color="auto" w:sz="4" w:space="0"/>
            </w:tcBorders>
            <w:shd w:val="clear" w:color="000000" w:fill="FFFFFF"/>
            <w:vAlign w:val="center"/>
          </w:tcPr>
          <w:p w14:paraId="7093F7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莒溪镇自来水厂</w:t>
            </w:r>
          </w:p>
        </w:tc>
        <w:tc>
          <w:tcPr>
            <w:tcW w:w="1134" w:type="dxa"/>
            <w:tcBorders>
              <w:top w:val="nil"/>
              <w:left w:val="nil"/>
              <w:bottom w:val="single" w:color="auto" w:sz="4" w:space="0"/>
              <w:right w:val="single" w:color="auto" w:sz="4" w:space="0"/>
            </w:tcBorders>
            <w:shd w:val="clear" w:color="000000" w:fill="FFFFFF"/>
            <w:vAlign w:val="center"/>
          </w:tcPr>
          <w:p w14:paraId="7777D97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龙潭口</w:t>
            </w:r>
          </w:p>
        </w:tc>
        <w:tc>
          <w:tcPr>
            <w:tcW w:w="1418" w:type="dxa"/>
            <w:tcBorders>
              <w:top w:val="nil"/>
              <w:left w:val="nil"/>
              <w:bottom w:val="single" w:color="auto" w:sz="4" w:space="0"/>
              <w:right w:val="single" w:color="auto" w:sz="4" w:space="0"/>
            </w:tcBorders>
            <w:shd w:val="clear" w:color="000000" w:fill="FFFFFF"/>
            <w:vAlign w:val="center"/>
          </w:tcPr>
          <w:p w14:paraId="4BDED76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vMerge w:val="restart"/>
            <w:tcBorders>
              <w:top w:val="nil"/>
              <w:left w:val="single" w:color="auto" w:sz="4" w:space="0"/>
              <w:bottom w:val="single" w:color="auto" w:sz="4" w:space="0"/>
              <w:right w:val="single" w:color="auto" w:sz="4" w:space="0"/>
            </w:tcBorders>
            <w:shd w:val="clear" w:color="000000" w:fill="FFFFFF"/>
            <w:vAlign w:val="center"/>
          </w:tcPr>
          <w:p w14:paraId="3EF9E87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取水点上游1000m水体及水体两侧一重山分水岭内的陆域范围。</w:t>
            </w:r>
          </w:p>
        </w:tc>
        <w:tc>
          <w:tcPr>
            <w:tcW w:w="4659" w:type="dxa"/>
            <w:vMerge w:val="restart"/>
            <w:tcBorders>
              <w:top w:val="nil"/>
              <w:left w:val="single" w:color="auto" w:sz="4" w:space="0"/>
              <w:bottom w:val="single" w:color="auto" w:sz="4" w:space="0"/>
              <w:right w:val="single" w:color="auto" w:sz="4" w:space="0"/>
            </w:tcBorders>
            <w:shd w:val="clear" w:color="000000" w:fill="FFFFFF"/>
            <w:vAlign w:val="center"/>
          </w:tcPr>
          <w:p w14:paraId="14585F4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一级保护区以上2000m内的干流、支流水体及两侧一重山分水岭内的陆域范围。</w:t>
            </w:r>
          </w:p>
        </w:tc>
      </w:tr>
      <w:tr w14:paraId="65DAF786">
        <w:tblPrEx>
          <w:tblCellMar>
            <w:top w:w="0" w:type="dxa"/>
            <w:left w:w="108" w:type="dxa"/>
            <w:bottom w:w="0" w:type="dxa"/>
            <w:right w:w="108" w:type="dxa"/>
          </w:tblCellMar>
        </w:tblPrEx>
        <w:trPr>
          <w:trHeight w:val="284" w:hRule="atLeast"/>
        </w:trPr>
        <w:tc>
          <w:tcPr>
            <w:tcW w:w="846" w:type="dxa"/>
            <w:vMerge w:val="continue"/>
            <w:tcBorders>
              <w:top w:val="nil"/>
              <w:left w:val="single" w:color="auto" w:sz="4" w:space="0"/>
              <w:bottom w:val="single" w:color="auto" w:sz="4" w:space="0"/>
              <w:right w:val="single" w:color="auto" w:sz="4" w:space="0"/>
            </w:tcBorders>
            <w:vAlign w:val="center"/>
          </w:tcPr>
          <w:p w14:paraId="215531EC">
            <w:pPr>
              <w:widowControl/>
              <w:jc w:val="center"/>
              <w:rPr>
                <w:rFonts w:ascii="Times New Roman" w:hAnsi="Times New Roman" w:eastAsia="仿宋_GB2312" w:cs="Times New Roman"/>
                <w:kern w:val="0"/>
                <w:sz w:val="24"/>
                <w:szCs w:val="24"/>
              </w:rPr>
            </w:pPr>
          </w:p>
        </w:tc>
        <w:tc>
          <w:tcPr>
            <w:tcW w:w="1559" w:type="dxa"/>
            <w:vMerge w:val="continue"/>
            <w:tcBorders>
              <w:top w:val="nil"/>
              <w:left w:val="single" w:color="auto" w:sz="4" w:space="0"/>
              <w:bottom w:val="single" w:color="auto" w:sz="4" w:space="0"/>
              <w:right w:val="single" w:color="auto" w:sz="4" w:space="0"/>
            </w:tcBorders>
            <w:vAlign w:val="center"/>
          </w:tcPr>
          <w:p w14:paraId="5C68E900">
            <w:pPr>
              <w:widowControl/>
              <w:jc w:val="center"/>
              <w:rPr>
                <w:rFonts w:ascii="Times New Roman" w:hAnsi="Times New Roman" w:eastAsia="仿宋_GB2312" w:cs="Times New Roman"/>
                <w:kern w:val="0"/>
                <w:sz w:val="24"/>
                <w:szCs w:val="24"/>
              </w:rPr>
            </w:pPr>
          </w:p>
        </w:tc>
        <w:tc>
          <w:tcPr>
            <w:tcW w:w="1134" w:type="dxa"/>
            <w:tcBorders>
              <w:top w:val="nil"/>
              <w:left w:val="nil"/>
              <w:bottom w:val="single" w:color="auto" w:sz="4" w:space="0"/>
              <w:right w:val="single" w:color="auto" w:sz="4" w:space="0"/>
            </w:tcBorders>
            <w:shd w:val="clear" w:color="000000" w:fill="FFFFFF"/>
            <w:vAlign w:val="center"/>
          </w:tcPr>
          <w:p w14:paraId="3FBF7C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草潭</w:t>
            </w:r>
          </w:p>
        </w:tc>
        <w:tc>
          <w:tcPr>
            <w:tcW w:w="1418" w:type="dxa"/>
            <w:tcBorders>
              <w:top w:val="nil"/>
              <w:left w:val="nil"/>
              <w:bottom w:val="single" w:color="auto" w:sz="4" w:space="0"/>
              <w:right w:val="single" w:color="auto" w:sz="4" w:space="0"/>
            </w:tcBorders>
            <w:shd w:val="clear" w:color="000000" w:fill="FFFFFF"/>
            <w:vAlign w:val="center"/>
          </w:tcPr>
          <w:p w14:paraId="301E738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vMerge w:val="continue"/>
            <w:tcBorders>
              <w:top w:val="nil"/>
              <w:left w:val="single" w:color="auto" w:sz="4" w:space="0"/>
              <w:bottom w:val="single" w:color="auto" w:sz="4" w:space="0"/>
              <w:right w:val="single" w:color="auto" w:sz="4" w:space="0"/>
            </w:tcBorders>
            <w:vAlign w:val="center"/>
          </w:tcPr>
          <w:p w14:paraId="1B42DFDB">
            <w:pPr>
              <w:widowControl/>
              <w:jc w:val="center"/>
              <w:rPr>
                <w:rFonts w:ascii="Times New Roman" w:hAnsi="Times New Roman" w:eastAsia="仿宋_GB2312" w:cs="Times New Roman"/>
                <w:kern w:val="0"/>
                <w:sz w:val="24"/>
                <w:szCs w:val="24"/>
              </w:rPr>
            </w:pPr>
          </w:p>
        </w:tc>
        <w:tc>
          <w:tcPr>
            <w:tcW w:w="4659" w:type="dxa"/>
            <w:vMerge w:val="continue"/>
            <w:tcBorders>
              <w:top w:val="nil"/>
              <w:left w:val="single" w:color="auto" w:sz="4" w:space="0"/>
              <w:bottom w:val="single" w:color="auto" w:sz="4" w:space="0"/>
              <w:right w:val="single" w:color="auto" w:sz="4" w:space="0"/>
            </w:tcBorders>
            <w:vAlign w:val="center"/>
          </w:tcPr>
          <w:p w14:paraId="6F9297EB">
            <w:pPr>
              <w:widowControl/>
              <w:jc w:val="center"/>
              <w:rPr>
                <w:rFonts w:ascii="Times New Roman" w:hAnsi="Times New Roman" w:eastAsia="仿宋_GB2312" w:cs="Times New Roman"/>
                <w:kern w:val="0"/>
                <w:sz w:val="24"/>
                <w:szCs w:val="24"/>
              </w:rPr>
            </w:pPr>
          </w:p>
        </w:tc>
      </w:tr>
      <w:tr w14:paraId="4135977B">
        <w:tblPrEx>
          <w:tblCellMar>
            <w:top w:w="0" w:type="dxa"/>
            <w:left w:w="108" w:type="dxa"/>
            <w:bottom w:w="0" w:type="dxa"/>
            <w:right w:w="108" w:type="dxa"/>
          </w:tblCellMar>
        </w:tblPrEx>
        <w:trPr>
          <w:trHeight w:val="284" w:hRule="atLeast"/>
        </w:trPr>
        <w:tc>
          <w:tcPr>
            <w:tcW w:w="846" w:type="dxa"/>
            <w:vMerge w:val="restart"/>
            <w:tcBorders>
              <w:top w:val="nil"/>
              <w:left w:val="single" w:color="auto" w:sz="4" w:space="0"/>
              <w:bottom w:val="single" w:color="auto" w:sz="4" w:space="0"/>
              <w:right w:val="single" w:color="auto" w:sz="4" w:space="0"/>
            </w:tcBorders>
            <w:noWrap/>
            <w:vAlign w:val="center"/>
          </w:tcPr>
          <w:p w14:paraId="1C56B1E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559" w:type="dxa"/>
            <w:vMerge w:val="restart"/>
            <w:tcBorders>
              <w:top w:val="nil"/>
              <w:left w:val="single" w:color="auto" w:sz="4" w:space="0"/>
              <w:bottom w:val="single" w:color="auto" w:sz="4" w:space="0"/>
              <w:right w:val="single" w:color="auto" w:sz="4" w:space="0"/>
            </w:tcBorders>
            <w:shd w:val="clear" w:color="000000" w:fill="FFFFFF"/>
            <w:vAlign w:val="center"/>
          </w:tcPr>
          <w:p w14:paraId="44F4168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朋口镇自来水厂</w:t>
            </w:r>
          </w:p>
        </w:tc>
        <w:tc>
          <w:tcPr>
            <w:tcW w:w="1134" w:type="dxa"/>
            <w:tcBorders>
              <w:top w:val="nil"/>
              <w:left w:val="nil"/>
              <w:bottom w:val="single" w:color="auto" w:sz="4" w:space="0"/>
              <w:right w:val="single" w:color="auto" w:sz="4" w:space="0"/>
            </w:tcBorders>
            <w:shd w:val="clear" w:color="000000" w:fill="FFFFFF"/>
            <w:vAlign w:val="center"/>
          </w:tcPr>
          <w:p w14:paraId="63102B0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寨上乾</w:t>
            </w:r>
          </w:p>
        </w:tc>
        <w:tc>
          <w:tcPr>
            <w:tcW w:w="1418" w:type="dxa"/>
            <w:tcBorders>
              <w:top w:val="nil"/>
              <w:left w:val="nil"/>
              <w:bottom w:val="single" w:color="auto" w:sz="4" w:space="0"/>
              <w:right w:val="single" w:color="auto" w:sz="4" w:space="0"/>
            </w:tcBorders>
            <w:shd w:val="clear" w:color="000000" w:fill="FFFFFF"/>
            <w:vAlign w:val="center"/>
          </w:tcPr>
          <w:p w14:paraId="7E5089E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vMerge w:val="restart"/>
            <w:tcBorders>
              <w:top w:val="nil"/>
              <w:left w:val="single" w:color="auto" w:sz="4" w:space="0"/>
              <w:bottom w:val="single" w:color="auto" w:sz="4" w:space="0"/>
              <w:right w:val="single" w:color="auto" w:sz="4" w:space="0"/>
            </w:tcBorders>
            <w:shd w:val="clear" w:color="000000" w:fill="FFFFFF"/>
            <w:vAlign w:val="center"/>
          </w:tcPr>
          <w:p w14:paraId="72C7709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取水点上游1000m内干流、支流两侧一重山分水岭内的陆域范围。</w:t>
            </w:r>
          </w:p>
        </w:tc>
        <w:tc>
          <w:tcPr>
            <w:tcW w:w="4659" w:type="dxa"/>
            <w:vMerge w:val="restart"/>
            <w:tcBorders>
              <w:top w:val="nil"/>
              <w:left w:val="single" w:color="auto" w:sz="4" w:space="0"/>
              <w:bottom w:val="single" w:color="auto" w:sz="4" w:space="0"/>
              <w:right w:val="single" w:color="auto" w:sz="4" w:space="0"/>
            </w:tcBorders>
            <w:shd w:val="clear" w:color="000000" w:fill="FFFFFF"/>
            <w:vAlign w:val="center"/>
          </w:tcPr>
          <w:p w14:paraId="6837D6B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一级保护区以上2000m内的干流、支流水体及两侧一重山分水岭内的陆域范围。</w:t>
            </w:r>
          </w:p>
        </w:tc>
      </w:tr>
      <w:tr w14:paraId="36E73AD9">
        <w:tblPrEx>
          <w:tblCellMar>
            <w:top w:w="0" w:type="dxa"/>
            <w:left w:w="108" w:type="dxa"/>
            <w:bottom w:w="0" w:type="dxa"/>
            <w:right w:w="108" w:type="dxa"/>
          </w:tblCellMar>
        </w:tblPrEx>
        <w:trPr>
          <w:trHeight w:val="284" w:hRule="atLeast"/>
        </w:trPr>
        <w:tc>
          <w:tcPr>
            <w:tcW w:w="846" w:type="dxa"/>
            <w:vMerge w:val="continue"/>
            <w:tcBorders>
              <w:top w:val="nil"/>
              <w:left w:val="single" w:color="auto" w:sz="4" w:space="0"/>
              <w:bottom w:val="single" w:color="auto" w:sz="4" w:space="0"/>
              <w:right w:val="single" w:color="auto" w:sz="4" w:space="0"/>
            </w:tcBorders>
            <w:vAlign w:val="center"/>
          </w:tcPr>
          <w:p w14:paraId="40011177">
            <w:pPr>
              <w:widowControl/>
              <w:jc w:val="center"/>
              <w:rPr>
                <w:rFonts w:ascii="Times New Roman" w:hAnsi="Times New Roman" w:eastAsia="仿宋_GB2312" w:cs="Times New Roman"/>
                <w:kern w:val="0"/>
                <w:sz w:val="24"/>
                <w:szCs w:val="24"/>
              </w:rPr>
            </w:pPr>
          </w:p>
        </w:tc>
        <w:tc>
          <w:tcPr>
            <w:tcW w:w="1559" w:type="dxa"/>
            <w:vMerge w:val="continue"/>
            <w:tcBorders>
              <w:top w:val="nil"/>
              <w:left w:val="single" w:color="auto" w:sz="4" w:space="0"/>
              <w:bottom w:val="single" w:color="auto" w:sz="4" w:space="0"/>
              <w:right w:val="single" w:color="auto" w:sz="4" w:space="0"/>
            </w:tcBorders>
            <w:vAlign w:val="center"/>
          </w:tcPr>
          <w:p w14:paraId="0407DC86">
            <w:pPr>
              <w:widowControl/>
              <w:jc w:val="center"/>
              <w:rPr>
                <w:rFonts w:ascii="Times New Roman" w:hAnsi="Times New Roman" w:eastAsia="仿宋_GB2312" w:cs="Times New Roman"/>
                <w:kern w:val="0"/>
                <w:sz w:val="24"/>
                <w:szCs w:val="24"/>
              </w:rPr>
            </w:pPr>
          </w:p>
        </w:tc>
        <w:tc>
          <w:tcPr>
            <w:tcW w:w="1134" w:type="dxa"/>
            <w:tcBorders>
              <w:top w:val="nil"/>
              <w:left w:val="nil"/>
              <w:bottom w:val="single" w:color="auto" w:sz="4" w:space="0"/>
              <w:right w:val="single" w:color="auto" w:sz="4" w:space="0"/>
            </w:tcBorders>
            <w:shd w:val="clear" w:color="000000" w:fill="FFFFFF"/>
            <w:vAlign w:val="center"/>
          </w:tcPr>
          <w:p w14:paraId="3CA3AF6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五步畲</w:t>
            </w:r>
          </w:p>
        </w:tc>
        <w:tc>
          <w:tcPr>
            <w:tcW w:w="1418" w:type="dxa"/>
            <w:tcBorders>
              <w:top w:val="nil"/>
              <w:left w:val="nil"/>
              <w:bottom w:val="single" w:color="auto" w:sz="4" w:space="0"/>
              <w:right w:val="single" w:color="auto" w:sz="4" w:space="0"/>
            </w:tcBorders>
            <w:shd w:val="clear" w:color="000000" w:fill="FFFFFF"/>
            <w:vAlign w:val="center"/>
          </w:tcPr>
          <w:p w14:paraId="6E8E1C5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vMerge w:val="continue"/>
            <w:tcBorders>
              <w:top w:val="nil"/>
              <w:left w:val="single" w:color="auto" w:sz="4" w:space="0"/>
              <w:bottom w:val="single" w:color="auto" w:sz="4" w:space="0"/>
              <w:right w:val="single" w:color="auto" w:sz="4" w:space="0"/>
            </w:tcBorders>
            <w:vAlign w:val="center"/>
          </w:tcPr>
          <w:p w14:paraId="5CE2792B">
            <w:pPr>
              <w:widowControl/>
              <w:jc w:val="center"/>
              <w:rPr>
                <w:rFonts w:ascii="Times New Roman" w:hAnsi="Times New Roman" w:eastAsia="仿宋_GB2312" w:cs="Times New Roman"/>
                <w:kern w:val="0"/>
                <w:sz w:val="24"/>
                <w:szCs w:val="24"/>
              </w:rPr>
            </w:pPr>
          </w:p>
        </w:tc>
        <w:tc>
          <w:tcPr>
            <w:tcW w:w="4659" w:type="dxa"/>
            <w:vMerge w:val="continue"/>
            <w:tcBorders>
              <w:top w:val="nil"/>
              <w:left w:val="single" w:color="auto" w:sz="4" w:space="0"/>
              <w:bottom w:val="single" w:color="auto" w:sz="4" w:space="0"/>
              <w:right w:val="single" w:color="auto" w:sz="4" w:space="0"/>
            </w:tcBorders>
            <w:vAlign w:val="center"/>
          </w:tcPr>
          <w:p w14:paraId="774F43C1">
            <w:pPr>
              <w:widowControl/>
              <w:jc w:val="center"/>
              <w:rPr>
                <w:rFonts w:ascii="Times New Roman" w:hAnsi="Times New Roman" w:eastAsia="仿宋_GB2312" w:cs="Times New Roman"/>
                <w:kern w:val="0"/>
                <w:sz w:val="24"/>
                <w:szCs w:val="24"/>
              </w:rPr>
            </w:pPr>
          </w:p>
        </w:tc>
      </w:tr>
      <w:tr w14:paraId="2E6CDE33">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5FC97AD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1559" w:type="dxa"/>
            <w:tcBorders>
              <w:top w:val="nil"/>
              <w:left w:val="nil"/>
              <w:bottom w:val="single" w:color="auto" w:sz="4" w:space="0"/>
              <w:right w:val="single" w:color="auto" w:sz="4" w:space="0"/>
            </w:tcBorders>
            <w:shd w:val="clear" w:color="000000" w:fill="FFFFFF"/>
            <w:vAlign w:val="center"/>
          </w:tcPr>
          <w:p w14:paraId="4F7B369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姑田镇自来水厂</w:t>
            </w:r>
          </w:p>
        </w:tc>
        <w:tc>
          <w:tcPr>
            <w:tcW w:w="1134" w:type="dxa"/>
            <w:tcBorders>
              <w:top w:val="nil"/>
              <w:left w:val="nil"/>
              <w:bottom w:val="single" w:color="auto" w:sz="4" w:space="0"/>
              <w:right w:val="single" w:color="auto" w:sz="4" w:space="0"/>
            </w:tcBorders>
            <w:shd w:val="clear" w:color="000000" w:fill="FFFFFF"/>
            <w:vAlign w:val="center"/>
          </w:tcPr>
          <w:p w14:paraId="44E9410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元甲</w:t>
            </w:r>
          </w:p>
        </w:tc>
        <w:tc>
          <w:tcPr>
            <w:tcW w:w="1418" w:type="dxa"/>
            <w:tcBorders>
              <w:top w:val="nil"/>
              <w:left w:val="nil"/>
              <w:bottom w:val="single" w:color="auto" w:sz="4" w:space="0"/>
              <w:right w:val="single" w:color="auto" w:sz="4" w:space="0"/>
            </w:tcBorders>
            <w:shd w:val="clear" w:color="000000" w:fill="FFFFFF"/>
            <w:vAlign w:val="center"/>
          </w:tcPr>
          <w:p w14:paraId="43716A8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溪水</w:t>
            </w:r>
          </w:p>
        </w:tc>
        <w:tc>
          <w:tcPr>
            <w:tcW w:w="4110" w:type="dxa"/>
            <w:tcBorders>
              <w:top w:val="nil"/>
              <w:left w:val="nil"/>
              <w:bottom w:val="single" w:color="auto" w:sz="4" w:space="0"/>
              <w:right w:val="single" w:color="auto" w:sz="4" w:space="0"/>
            </w:tcBorders>
            <w:shd w:val="clear" w:color="000000" w:fill="FFFFFF"/>
            <w:vAlign w:val="center"/>
          </w:tcPr>
          <w:p w14:paraId="7110E94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取水点上游1000m内的水体及干流、支流两侧一重山分水岭内的陆域范围。</w:t>
            </w:r>
          </w:p>
        </w:tc>
        <w:tc>
          <w:tcPr>
            <w:tcW w:w="4659" w:type="dxa"/>
            <w:tcBorders>
              <w:top w:val="nil"/>
              <w:left w:val="nil"/>
              <w:bottom w:val="single" w:color="auto" w:sz="4" w:space="0"/>
              <w:right w:val="single" w:color="auto" w:sz="4" w:space="0"/>
            </w:tcBorders>
            <w:shd w:val="clear" w:color="000000" w:fill="FFFFFF"/>
            <w:vAlign w:val="center"/>
          </w:tcPr>
          <w:p w14:paraId="30D31F8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一级保护区以上2000m或至姑田镇境内的干流、支流两侧一重山分水岭内的陆域范围。</w:t>
            </w:r>
          </w:p>
        </w:tc>
      </w:tr>
      <w:tr w14:paraId="5E9625E6">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21951CC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c>
          <w:tcPr>
            <w:tcW w:w="1559" w:type="dxa"/>
            <w:tcBorders>
              <w:top w:val="nil"/>
              <w:left w:val="nil"/>
              <w:bottom w:val="single" w:color="auto" w:sz="4" w:space="0"/>
              <w:right w:val="single" w:color="auto" w:sz="4" w:space="0"/>
            </w:tcBorders>
            <w:shd w:val="clear" w:color="000000" w:fill="FFFFFF"/>
            <w:vAlign w:val="center"/>
          </w:tcPr>
          <w:p w14:paraId="707EA8E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北团镇自来水厂</w:t>
            </w:r>
          </w:p>
        </w:tc>
        <w:tc>
          <w:tcPr>
            <w:tcW w:w="1134" w:type="dxa"/>
            <w:tcBorders>
              <w:top w:val="nil"/>
              <w:left w:val="nil"/>
              <w:bottom w:val="single" w:color="auto" w:sz="4" w:space="0"/>
              <w:right w:val="single" w:color="auto" w:sz="4" w:space="0"/>
            </w:tcBorders>
            <w:shd w:val="clear" w:color="000000" w:fill="FFFFFF"/>
            <w:vAlign w:val="center"/>
          </w:tcPr>
          <w:p w14:paraId="4621B9B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牛石坑</w:t>
            </w:r>
          </w:p>
        </w:tc>
        <w:tc>
          <w:tcPr>
            <w:tcW w:w="1418" w:type="dxa"/>
            <w:tcBorders>
              <w:top w:val="nil"/>
              <w:left w:val="nil"/>
              <w:bottom w:val="single" w:color="auto" w:sz="4" w:space="0"/>
              <w:right w:val="single" w:color="auto" w:sz="4" w:space="0"/>
            </w:tcBorders>
            <w:shd w:val="clear" w:color="000000" w:fill="FFFFFF"/>
            <w:vAlign w:val="center"/>
          </w:tcPr>
          <w:p w14:paraId="16DEBCF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tcBorders>
              <w:top w:val="nil"/>
              <w:left w:val="nil"/>
              <w:bottom w:val="single" w:color="auto" w:sz="4" w:space="0"/>
              <w:right w:val="single" w:color="auto" w:sz="4" w:space="0"/>
            </w:tcBorders>
            <w:shd w:val="clear" w:color="000000" w:fill="FFFFFF"/>
            <w:vAlign w:val="center"/>
          </w:tcPr>
          <w:p w14:paraId="7A03D92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取水点上游1000m内的水体及干流、支流两侧一重山分水岭内的陆域范围。</w:t>
            </w:r>
          </w:p>
        </w:tc>
        <w:tc>
          <w:tcPr>
            <w:tcW w:w="4659" w:type="dxa"/>
            <w:tcBorders>
              <w:top w:val="nil"/>
              <w:left w:val="nil"/>
              <w:bottom w:val="single" w:color="auto" w:sz="4" w:space="0"/>
              <w:right w:val="single" w:color="auto" w:sz="4" w:space="0"/>
            </w:tcBorders>
            <w:shd w:val="clear" w:color="000000" w:fill="FFFFFF"/>
            <w:vAlign w:val="center"/>
          </w:tcPr>
          <w:p w14:paraId="00AF427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无</w:t>
            </w:r>
          </w:p>
        </w:tc>
      </w:tr>
      <w:tr w14:paraId="7787D067">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4138D1C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7</w:t>
            </w:r>
          </w:p>
        </w:tc>
        <w:tc>
          <w:tcPr>
            <w:tcW w:w="1559" w:type="dxa"/>
            <w:tcBorders>
              <w:top w:val="nil"/>
              <w:left w:val="nil"/>
              <w:bottom w:val="single" w:color="auto" w:sz="4" w:space="0"/>
              <w:right w:val="single" w:color="auto" w:sz="4" w:space="0"/>
            </w:tcBorders>
            <w:shd w:val="clear" w:color="000000" w:fill="FFFFFF"/>
            <w:vAlign w:val="center"/>
          </w:tcPr>
          <w:p w14:paraId="3BD3BF5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四堡乡自来水厂</w:t>
            </w:r>
          </w:p>
        </w:tc>
        <w:tc>
          <w:tcPr>
            <w:tcW w:w="1134" w:type="dxa"/>
            <w:tcBorders>
              <w:top w:val="nil"/>
              <w:left w:val="nil"/>
              <w:bottom w:val="single" w:color="auto" w:sz="4" w:space="0"/>
              <w:right w:val="single" w:color="auto" w:sz="4" w:space="0"/>
            </w:tcBorders>
            <w:shd w:val="clear" w:color="000000" w:fill="FFFFFF"/>
            <w:vAlign w:val="center"/>
          </w:tcPr>
          <w:p w14:paraId="455F56F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团结水库</w:t>
            </w:r>
          </w:p>
        </w:tc>
        <w:tc>
          <w:tcPr>
            <w:tcW w:w="1418" w:type="dxa"/>
            <w:tcBorders>
              <w:top w:val="nil"/>
              <w:left w:val="nil"/>
              <w:bottom w:val="single" w:color="auto" w:sz="4" w:space="0"/>
              <w:right w:val="single" w:color="auto" w:sz="4" w:space="0"/>
            </w:tcBorders>
            <w:shd w:val="clear" w:color="000000" w:fill="FFFFFF"/>
            <w:vAlign w:val="center"/>
          </w:tcPr>
          <w:p w14:paraId="7598726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水库水</w:t>
            </w:r>
          </w:p>
        </w:tc>
        <w:tc>
          <w:tcPr>
            <w:tcW w:w="4110" w:type="dxa"/>
            <w:tcBorders>
              <w:top w:val="nil"/>
              <w:left w:val="nil"/>
              <w:bottom w:val="single" w:color="auto" w:sz="4" w:space="0"/>
              <w:right w:val="single" w:color="auto" w:sz="4" w:space="0"/>
            </w:tcBorders>
            <w:shd w:val="clear" w:color="000000" w:fill="FFFFFF"/>
            <w:vAlign w:val="center"/>
          </w:tcPr>
          <w:p w14:paraId="746A0B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库区及周边一重山汇水流域</w:t>
            </w:r>
          </w:p>
        </w:tc>
        <w:tc>
          <w:tcPr>
            <w:tcW w:w="4659" w:type="dxa"/>
            <w:tcBorders>
              <w:top w:val="nil"/>
              <w:left w:val="nil"/>
              <w:bottom w:val="single" w:color="auto" w:sz="4" w:space="0"/>
              <w:right w:val="single" w:color="auto" w:sz="4" w:space="0"/>
            </w:tcBorders>
            <w:shd w:val="clear" w:color="000000" w:fill="FFFFFF"/>
            <w:vAlign w:val="center"/>
          </w:tcPr>
          <w:p w14:paraId="235463D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一级保护区以上2千米内的水域及整个汇水流域。</w:t>
            </w:r>
          </w:p>
        </w:tc>
      </w:tr>
      <w:tr w14:paraId="1A5F58F7">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3052E55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8</w:t>
            </w:r>
          </w:p>
        </w:tc>
        <w:tc>
          <w:tcPr>
            <w:tcW w:w="1559" w:type="dxa"/>
            <w:tcBorders>
              <w:top w:val="nil"/>
              <w:left w:val="nil"/>
              <w:bottom w:val="single" w:color="auto" w:sz="4" w:space="0"/>
              <w:right w:val="single" w:color="auto" w:sz="4" w:space="0"/>
            </w:tcBorders>
            <w:shd w:val="clear" w:color="000000" w:fill="FFFFFF"/>
            <w:vAlign w:val="center"/>
          </w:tcPr>
          <w:p w14:paraId="773455D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罗坊乡自来水厂</w:t>
            </w:r>
          </w:p>
        </w:tc>
        <w:tc>
          <w:tcPr>
            <w:tcW w:w="1134" w:type="dxa"/>
            <w:tcBorders>
              <w:top w:val="nil"/>
              <w:left w:val="nil"/>
              <w:bottom w:val="single" w:color="auto" w:sz="4" w:space="0"/>
              <w:right w:val="single" w:color="auto" w:sz="4" w:space="0"/>
            </w:tcBorders>
            <w:shd w:val="clear" w:color="000000" w:fill="FFFFFF"/>
            <w:vAlign w:val="center"/>
          </w:tcPr>
          <w:p w14:paraId="2DCD741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坪坑</w:t>
            </w:r>
          </w:p>
        </w:tc>
        <w:tc>
          <w:tcPr>
            <w:tcW w:w="1418" w:type="dxa"/>
            <w:tcBorders>
              <w:top w:val="nil"/>
              <w:left w:val="nil"/>
              <w:bottom w:val="single" w:color="auto" w:sz="4" w:space="0"/>
              <w:right w:val="single" w:color="auto" w:sz="4" w:space="0"/>
            </w:tcBorders>
            <w:shd w:val="clear" w:color="000000" w:fill="FFFFFF"/>
            <w:vAlign w:val="center"/>
          </w:tcPr>
          <w:p w14:paraId="3DEB7A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tcBorders>
              <w:top w:val="nil"/>
              <w:left w:val="nil"/>
              <w:bottom w:val="single" w:color="auto" w:sz="4" w:space="0"/>
              <w:right w:val="single" w:color="auto" w:sz="4" w:space="0"/>
            </w:tcBorders>
            <w:shd w:val="clear" w:color="000000" w:fill="FFFFFF"/>
            <w:vAlign w:val="center"/>
          </w:tcPr>
          <w:p w14:paraId="0DCE6DB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取水点水坝以上的整个汇水流域，东南、南面及西南村道为界。</w:t>
            </w:r>
          </w:p>
        </w:tc>
        <w:tc>
          <w:tcPr>
            <w:tcW w:w="4659" w:type="dxa"/>
            <w:tcBorders>
              <w:top w:val="nil"/>
              <w:left w:val="nil"/>
              <w:bottom w:val="single" w:color="auto" w:sz="4" w:space="0"/>
              <w:right w:val="single" w:color="auto" w:sz="4" w:space="0"/>
            </w:tcBorders>
            <w:shd w:val="clear" w:color="000000" w:fill="FFFFFF"/>
            <w:vAlign w:val="center"/>
          </w:tcPr>
          <w:p w14:paraId="435476D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无</w:t>
            </w:r>
          </w:p>
        </w:tc>
      </w:tr>
      <w:tr w14:paraId="09787235">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56E4CD2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9</w:t>
            </w:r>
          </w:p>
        </w:tc>
        <w:tc>
          <w:tcPr>
            <w:tcW w:w="1559" w:type="dxa"/>
            <w:tcBorders>
              <w:top w:val="nil"/>
              <w:left w:val="nil"/>
              <w:bottom w:val="single" w:color="auto" w:sz="4" w:space="0"/>
              <w:right w:val="single" w:color="auto" w:sz="4" w:space="0"/>
            </w:tcBorders>
            <w:shd w:val="clear" w:color="000000" w:fill="FFFFFF"/>
            <w:vAlign w:val="center"/>
          </w:tcPr>
          <w:p w14:paraId="22A0223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塘前乡自来水厂</w:t>
            </w:r>
          </w:p>
        </w:tc>
        <w:tc>
          <w:tcPr>
            <w:tcW w:w="1134" w:type="dxa"/>
            <w:tcBorders>
              <w:top w:val="nil"/>
              <w:left w:val="nil"/>
              <w:bottom w:val="single" w:color="auto" w:sz="4" w:space="0"/>
              <w:right w:val="single" w:color="auto" w:sz="4" w:space="0"/>
            </w:tcBorders>
            <w:shd w:val="clear" w:color="000000" w:fill="FFFFFF"/>
            <w:vAlign w:val="center"/>
          </w:tcPr>
          <w:p w14:paraId="744CB2C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石槽坑</w:t>
            </w:r>
          </w:p>
        </w:tc>
        <w:tc>
          <w:tcPr>
            <w:tcW w:w="1418" w:type="dxa"/>
            <w:tcBorders>
              <w:top w:val="nil"/>
              <w:left w:val="nil"/>
              <w:bottom w:val="single" w:color="auto" w:sz="4" w:space="0"/>
              <w:right w:val="single" w:color="auto" w:sz="4" w:space="0"/>
            </w:tcBorders>
            <w:shd w:val="clear" w:color="000000" w:fill="FFFFFF"/>
            <w:vAlign w:val="center"/>
          </w:tcPr>
          <w:p w14:paraId="3D7260B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山溪水</w:t>
            </w:r>
          </w:p>
        </w:tc>
        <w:tc>
          <w:tcPr>
            <w:tcW w:w="4110" w:type="dxa"/>
            <w:tcBorders>
              <w:top w:val="nil"/>
              <w:left w:val="nil"/>
              <w:bottom w:val="single" w:color="auto" w:sz="4" w:space="0"/>
              <w:right w:val="single" w:color="auto" w:sz="4" w:space="0"/>
            </w:tcBorders>
            <w:shd w:val="clear" w:color="000000" w:fill="FFFFFF"/>
            <w:vAlign w:val="center"/>
          </w:tcPr>
          <w:p w14:paraId="67F62F9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取水点至上游1千米内的水域及两侧的汇水流域</w:t>
            </w:r>
          </w:p>
        </w:tc>
        <w:tc>
          <w:tcPr>
            <w:tcW w:w="4659" w:type="dxa"/>
            <w:tcBorders>
              <w:top w:val="nil"/>
              <w:left w:val="nil"/>
              <w:bottom w:val="single" w:color="auto" w:sz="4" w:space="0"/>
              <w:right w:val="single" w:color="auto" w:sz="4" w:space="0"/>
            </w:tcBorders>
            <w:shd w:val="clear" w:color="000000" w:fill="FFFFFF"/>
            <w:vAlign w:val="center"/>
          </w:tcPr>
          <w:p w14:paraId="6A8B9FA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一级保护区以上2千米内的水域及两侧汇水流域。</w:t>
            </w:r>
          </w:p>
        </w:tc>
      </w:tr>
      <w:tr w14:paraId="09ED653E">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6CC218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10</w:t>
            </w:r>
          </w:p>
        </w:tc>
        <w:tc>
          <w:tcPr>
            <w:tcW w:w="1559" w:type="dxa"/>
            <w:tcBorders>
              <w:top w:val="nil"/>
              <w:left w:val="nil"/>
              <w:bottom w:val="single" w:color="auto" w:sz="4" w:space="0"/>
              <w:right w:val="single" w:color="auto" w:sz="4" w:space="0"/>
            </w:tcBorders>
            <w:shd w:val="clear" w:color="000000" w:fill="FFFFFF"/>
            <w:vAlign w:val="center"/>
          </w:tcPr>
          <w:p w14:paraId="6D45BB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揭乐乡自来水厂</w:t>
            </w:r>
          </w:p>
        </w:tc>
        <w:tc>
          <w:tcPr>
            <w:tcW w:w="1134" w:type="dxa"/>
            <w:tcBorders>
              <w:top w:val="nil"/>
              <w:left w:val="nil"/>
              <w:bottom w:val="single" w:color="auto" w:sz="4" w:space="0"/>
              <w:right w:val="single" w:color="auto" w:sz="4" w:space="0"/>
            </w:tcBorders>
            <w:shd w:val="clear" w:color="000000" w:fill="FFFFFF"/>
            <w:vAlign w:val="center"/>
          </w:tcPr>
          <w:p w14:paraId="2745D7C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东坑</w:t>
            </w:r>
          </w:p>
        </w:tc>
        <w:tc>
          <w:tcPr>
            <w:tcW w:w="1418" w:type="dxa"/>
            <w:tcBorders>
              <w:top w:val="nil"/>
              <w:left w:val="nil"/>
              <w:bottom w:val="single" w:color="auto" w:sz="4" w:space="0"/>
              <w:right w:val="single" w:color="auto" w:sz="4" w:space="0"/>
            </w:tcBorders>
            <w:shd w:val="clear" w:color="000000" w:fill="FFFFFF"/>
            <w:vAlign w:val="center"/>
          </w:tcPr>
          <w:p w14:paraId="3D7468F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水库水</w:t>
            </w:r>
          </w:p>
        </w:tc>
        <w:tc>
          <w:tcPr>
            <w:tcW w:w="4110" w:type="dxa"/>
            <w:tcBorders>
              <w:top w:val="nil"/>
              <w:left w:val="nil"/>
              <w:bottom w:val="single" w:color="auto" w:sz="4" w:space="0"/>
              <w:right w:val="single" w:color="auto" w:sz="4" w:space="0"/>
            </w:tcBorders>
            <w:shd w:val="clear" w:color="000000" w:fill="FFFFFF"/>
            <w:vAlign w:val="center"/>
          </w:tcPr>
          <w:p w14:paraId="35EC1DA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库区及整个汇水流域。</w:t>
            </w:r>
          </w:p>
        </w:tc>
        <w:tc>
          <w:tcPr>
            <w:tcW w:w="4659" w:type="dxa"/>
            <w:tcBorders>
              <w:top w:val="nil"/>
              <w:left w:val="nil"/>
              <w:bottom w:val="single" w:color="auto" w:sz="4" w:space="0"/>
              <w:right w:val="single" w:color="auto" w:sz="4" w:space="0"/>
            </w:tcBorders>
            <w:shd w:val="clear" w:color="000000" w:fill="FFFFFF"/>
            <w:vAlign w:val="center"/>
          </w:tcPr>
          <w:p w14:paraId="3E3B746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无</w:t>
            </w:r>
          </w:p>
        </w:tc>
      </w:tr>
      <w:tr w14:paraId="4FD8C9A8">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7351BC7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11</w:t>
            </w:r>
          </w:p>
        </w:tc>
        <w:tc>
          <w:tcPr>
            <w:tcW w:w="1559" w:type="dxa"/>
            <w:tcBorders>
              <w:top w:val="nil"/>
              <w:left w:val="nil"/>
              <w:bottom w:val="single" w:color="auto" w:sz="4" w:space="0"/>
              <w:right w:val="single" w:color="auto" w:sz="4" w:space="0"/>
            </w:tcBorders>
            <w:shd w:val="clear" w:color="000000" w:fill="FFFFFF"/>
            <w:vAlign w:val="center"/>
          </w:tcPr>
          <w:p w14:paraId="21B8CD6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隔川乡老墟水厂</w:t>
            </w:r>
          </w:p>
        </w:tc>
        <w:tc>
          <w:tcPr>
            <w:tcW w:w="1134" w:type="dxa"/>
            <w:tcBorders>
              <w:top w:val="nil"/>
              <w:left w:val="nil"/>
              <w:bottom w:val="single" w:color="auto" w:sz="4" w:space="0"/>
              <w:right w:val="single" w:color="auto" w:sz="4" w:space="0"/>
            </w:tcBorders>
            <w:shd w:val="clear" w:color="000000" w:fill="FFFFFF"/>
            <w:vAlign w:val="center"/>
          </w:tcPr>
          <w:p w14:paraId="49AC685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竹叶村</w:t>
            </w:r>
          </w:p>
        </w:tc>
        <w:tc>
          <w:tcPr>
            <w:tcW w:w="1418" w:type="dxa"/>
            <w:tcBorders>
              <w:top w:val="nil"/>
              <w:left w:val="nil"/>
              <w:bottom w:val="single" w:color="auto" w:sz="4" w:space="0"/>
              <w:right w:val="single" w:color="auto" w:sz="4" w:space="0"/>
            </w:tcBorders>
            <w:shd w:val="clear" w:color="000000" w:fill="FFFFFF"/>
            <w:vAlign w:val="center"/>
          </w:tcPr>
          <w:p w14:paraId="762BCA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地下水</w:t>
            </w:r>
          </w:p>
        </w:tc>
        <w:tc>
          <w:tcPr>
            <w:tcW w:w="4110" w:type="dxa"/>
            <w:tcBorders>
              <w:top w:val="nil"/>
              <w:left w:val="nil"/>
              <w:bottom w:val="single" w:color="auto" w:sz="4" w:space="0"/>
              <w:right w:val="single" w:color="auto" w:sz="4" w:space="0"/>
            </w:tcBorders>
            <w:shd w:val="clear" w:color="000000" w:fill="FFFFFF"/>
            <w:vAlign w:val="center"/>
          </w:tcPr>
          <w:p w14:paraId="09116FE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取水点周围半径50米</w:t>
            </w:r>
          </w:p>
        </w:tc>
        <w:tc>
          <w:tcPr>
            <w:tcW w:w="4659" w:type="dxa"/>
            <w:tcBorders>
              <w:top w:val="nil"/>
              <w:left w:val="nil"/>
              <w:bottom w:val="single" w:color="auto" w:sz="4" w:space="0"/>
              <w:right w:val="single" w:color="auto" w:sz="4" w:space="0"/>
            </w:tcBorders>
            <w:shd w:val="clear" w:color="000000" w:fill="FFFFFF"/>
            <w:vAlign w:val="center"/>
          </w:tcPr>
          <w:p w14:paraId="7CFEA3A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无</w:t>
            </w:r>
          </w:p>
        </w:tc>
      </w:tr>
      <w:tr w14:paraId="536165F7">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4ABD0E4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12</w:t>
            </w:r>
          </w:p>
        </w:tc>
        <w:tc>
          <w:tcPr>
            <w:tcW w:w="1559" w:type="dxa"/>
            <w:tcBorders>
              <w:top w:val="nil"/>
              <w:left w:val="nil"/>
              <w:bottom w:val="single" w:color="auto" w:sz="4" w:space="0"/>
              <w:right w:val="single" w:color="auto" w:sz="4" w:space="0"/>
            </w:tcBorders>
            <w:shd w:val="clear" w:color="000000" w:fill="FFFFFF"/>
            <w:vAlign w:val="center"/>
          </w:tcPr>
          <w:p w14:paraId="51D9378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林坊乡岗尾水厂</w:t>
            </w:r>
          </w:p>
        </w:tc>
        <w:tc>
          <w:tcPr>
            <w:tcW w:w="1134" w:type="dxa"/>
            <w:tcBorders>
              <w:top w:val="nil"/>
              <w:left w:val="nil"/>
              <w:bottom w:val="single" w:color="auto" w:sz="4" w:space="0"/>
              <w:right w:val="single" w:color="auto" w:sz="4" w:space="0"/>
            </w:tcBorders>
            <w:shd w:val="clear" w:color="000000" w:fill="FFFFFF"/>
            <w:vAlign w:val="center"/>
          </w:tcPr>
          <w:p w14:paraId="1534BE7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大梨村</w:t>
            </w:r>
          </w:p>
        </w:tc>
        <w:tc>
          <w:tcPr>
            <w:tcW w:w="1418" w:type="dxa"/>
            <w:tcBorders>
              <w:top w:val="nil"/>
              <w:left w:val="nil"/>
              <w:bottom w:val="single" w:color="auto" w:sz="4" w:space="0"/>
              <w:right w:val="single" w:color="auto" w:sz="4" w:space="0"/>
            </w:tcBorders>
            <w:shd w:val="clear" w:color="000000" w:fill="FFFFFF"/>
            <w:vAlign w:val="center"/>
          </w:tcPr>
          <w:p w14:paraId="237BB57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地下水</w:t>
            </w:r>
          </w:p>
        </w:tc>
        <w:tc>
          <w:tcPr>
            <w:tcW w:w="4110" w:type="dxa"/>
            <w:tcBorders>
              <w:top w:val="nil"/>
              <w:left w:val="nil"/>
              <w:bottom w:val="single" w:color="auto" w:sz="4" w:space="0"/>
              <w:right w:val="single" w:color="auto" w:sz="4" w:space="0"/>
            </w:tcBorders>
            <w:shd w:val="clear" w:color="000000" w:fill="FFFFFF"/>
            <w:vAlign w:val="center"/>
          </w:tcPr>
          <w:p w14:paraId="5BECA49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取水点周围半径50米</w:t>
            </w:r>
          </w:p>
        </w:tc>
        <w:tc>
          <w:tcPr>
            <w:tcW w:w="4659" w:type="dxa"/>
            <w:tcBorders>
              <w:top w:val="nil"/>
              <w:left w:val="nil"/>
              <w:bottom w:val="single" w:color="auto" w:sz="4" w:space="0"/>
              <w:right w:val="single" w:color="auto" w:sz="4" w:space="0"/>
            </w:tcBorders>
            <w:shd w:val="clear" w:color="000000" w:fill="FFFFFF"/>
            <w:vAlign w:val="center"/>
          </w:tcPr>
          <w:p w14:paraId="207213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无</w:t>
            </w:r>
          </w:p>
        </w:tc>
      </w:tr>
      <w:tr w14:paraId="6A37CC23">
        <w:tblPrEx>
          <w:tblCellMar>
            <w:top w:w="0" w:type="dxa"/>
            <w:left w:w="108" w:type="dxa"/>
            <w:bottom w:w="0" w:type="dxa"/>
            <w:right w:w="108" w:type="dxa"/>
          </w:tblCellMar>
        </w:tblPrEx>
        <w:trPr>
          <w:trHeight w:val="284" w:hRule="atLeast"/>
        </w:trPr>
        <w:tc>
          <w:tcPr>
            <w:tcW w:w="846" w:type="dxa"/>
            <w:vMerge w:val="restart"/>
            <w:tcBorders>
              <w:top w:val="nil"/>
              <w:left w:val="single" w:color="auto" w:sz="4" w:space="0"/>
              <w:bottom w:val="single" w:color="auto" w:sz="4" w:space="0"/>
              <w:right w:val="single" w:color="auto" w:sz="4" w:space="0"/>
            </w:tcBorders>
            <w:noWrap/>
            <w:vAlign w:val="center"/>
          </w:tcPr>
          <w:p w14:paraId="5A91953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13</w:t>
            </w:r>
          </w:p>
        </w:tc>
        <w:tc>
          <w:tcPr>
            <w:tcW w:w="1559" w:type="dxa"/>
            <w:vMerge w:val="restart"/>
            <w:tcBorders>
              <w:top w:val="nil"/>
              <w:left w:val="single" w:color="auto" w:sz="4" w:space="0"/>
              <w:bottom w:val="single" w:color="auto" w:sz="4" w:space="0"/>
              <w:right w:val="single" w:color="auto" w:sz="4" w:space="0"/>
            </w:tcBorders>
            <w:shd w:val="clear" w:color="000000" w:fill="FFFFFF"/>
            <w:vAlign w:val="center"/>
          </w:tcPr>
          <w:p w14:paraId="1E171D3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赖源乡自来水厂</w:t>
            </w:r>
          </w:p>
        </w:tc>
        <w:tc>
          <w:tcPr>
            <w:tcW w:w="1134" w:type="dxa"/>
            <w:tcBorders>
              <w:top w:val="nil"/>
              <w:left w:val="nil"/>
              <w:bottom w:val="single" w:color="auto" w:sz="4" w:space="0"/>
              <w:right w:val="single" w:color="auto" w:sz="4" w:space="0"/>
            </w:tcBorders>
            <w:shd w:val="clear" w:color="000000" w:fill="FFFFFF"/>
            <w:vAlign w:val="center"/>
          </w:tcPr>
          <w:p w14:paraId="77C817C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上地</w:t>
            </w:r>
          </w:p>
        </w:tc>
        <w:tc>
          <w:tcPr>
            <w:tcW w:w="1418" w:type="dxa"/>
            <w:tcBorders>
              <w:top w:val="nil"/>
              <w:left w:val="nil"/>
              <w:bottom w:val="single" w:color="auto" w:sz="4" w:space="0"/>
              <w:right w:val="single" w:color="auto" w:sz="4" w:space="0"/>
            </w:tcBorders>
            <w:shd w:val="clear" w:color="000000" w:fill="FFFFFF"/>
            <w:vAlign w:val="center"/>
          </w:tcPr>
          <w:p w14:paraId="5244F6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水库水</w:t>
            </w:r>
          </w:p>
        </w:tc>
        <w:tc>
          <w:tcPr>
            <w:tcW w:w="4110" w:type="dxa"/>
            <w:vMerge w:val="restart"/>
            <w:tcBorders>
              <w:top w:val="nil"/>
              <w:left w:val="single" w:color="auto" w:sz="4" w:space="0"/>
              <w:bottom w:val="single" w:color="auto" w:sz="4" w:space="0"/>
              <w:right w:val="single" w:color="auto" w:sz="4" w:space="0"/>
            </w:tcBorders>
            <w:shd w:val="clear" w:color="000000" w:fill="FFFFFF"/>
            <w:vAlign w:val="center"/>
          </w:tcPr>
          <w:p w14:paraId="3AB151C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水库取水点至上游1千米的水域及两侧汇水流域；东山岐取水点以上汇水流域。</w:t>
            </w:r>
          </w:p>
        </w:tc>
        <w:tc>
          <w:tcPr>
            <w:tcW w:w="4659" w:type="dxa"/>
            <w:vMerge w:val="restart"/>
            <w:tcBorders>
              <w:top w:val="nil"/>
              <w:left w:val="single" w:color="auto" w:sz="4" w:space="0"/>
              <w:bottom w:val="single" w:color="auto" w:sz="4" w:space="0"/>
              <w:right w:val="single" w:color="auto" w:sz="4" w:space="0"/>
            </w:tcBorders>
            <w:shd w:val="clear" w:color="000000" w:fill="FFFFFF"/>
            <w:vAlign w:val="center"/>
          </w:tcPr>
          <w:p w14:paraId="3F9C4C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一级保护区以上2千米内的水域及两侧汇水流域。</w:t>
            </w:r>
          </w:p>
        </w:tc>
      </w:tr>
      <w:tr w14:paraId="5A2A4277">
        <w:tblPrEx>
          <w:tblCellMar>
            <w:top w:w="0" w:type="dxa"/>
            <w:left w:w="108" w:type="dxa"/>
            <w:bottom w:w="0" w:type="dxa"/>
            <w:right w:w="108" w:type="dxa"/>
          </w:tblCellMar>
        </w:tblPrEx>
        <w:trPr>
          <w:trHeight w:val="284" w:hRule="atLeast"/>
        </w:trPr>
        <w:tc>
          <w:tcPr>
            <w:tcW w:w="846" w:type="dxa"/>
            <w:vMerge w:val="continue"/>
            <w:tcBorders>
              <w:top w:val="nil"/>
              <w:left w:val="single" w:color="auto" w:sz="4" w:space="0"/>
              <w:bottom w:val="single" w:color="auto" w:sz="4" w:space="0"/>
              <w:right w:val="single" w:color="auto" w:sz="4" w:space="0"/>
            </w:tcBorders>
            <w:vAlign w:val="center"/>
          </w:tcPr>
          <w:p w14:paraId="799F5BBD">
            <w:pPr>
              <w:widowControl/>
              <w:jc w:val="center"/>
              <w:rPr>
                <w:rFonts w:ascii="Times New Roman" w:hAnsi="Times New Roman" w:eastAsia="仿宋_GB2312" w:cs="Times New Roman"/>
                <w:kern w:val="0"/>
                <w:sz w:val="24"/>
                <w:szCs w:val="24"/>
              </w:rPr>
            </w:pPr>
          </w:p>
        </w:tc>
        <w:tc>
          <w:tcPr>
            <w:tcW w:w="1559" w:type="dxa"/>
            <w:vMerge w:val="continue"/>
            <w:tcBorders>
              <w:top w:val="nil"/>
              <w:left w:val="single" w:color="auto" w:sz="4" w:space="0"/>
              <w:bottom w:val="single" w:color="auto" w:sz="4" w:space="0"/>
              <w:right w:val="single" w:color="auto" w:sz="4" w:space="0"/>
            </w:tcBorders>
            <w:vAlign w:val="center"/>
          </w:tcPr>
          <w:p w14:paraId="718F599E">
            <w:pPr>
              <w:widowControl/>
              <w:jc w:val="center"/>
              <w:rPr>
                <w:rFonts w:ascii="Times New Roman" w:hAnsi="Times New Roman" w:eastAsia="仿宋_GB2312" w:cs="Times New Roman"/>
                <w:kern w:val="0"/>
                <w:sz w:val="24"/>
                <w:szCs w:val="24"/>
              </w:rPr>
            </w:pPr>
          </w:p>
        </w:tc>
        <w:tc>
          <w:tcPr>
            <w:tcW w:w="1134" w:type="dxa"/>
            <w:tcBorders>
              <w:top w:val="nil"/>
              <w:left w:val="nil"/>
              <w:bottom w:val="single" w:color="auto" w:sz="4" w:space="0"/>
              <w:right w:val="single" w:color="auto" w:sz="4" w:space="0"/>
            </w:tcBorders>
            <w:shd w:val="clear" w:color="000000" w:fill="FFFFFF"/>
            <w:vAlign w:val="center"/>
          </w:tcPr>
          <w:p w14:paraId="236DFB4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东山岐</w:t>
            </w:r>
          </w:p>
        </w:tc>
        <w:tc>
          <w:tcPr>
            <w:tcW w:w="1418" w:type="dxa"/>
            <w:tcBorders>
              <w:top w:val="nil"/>
              <w:left w:val="nil"/>
              <w:bottom w:val="single" w:color="auto" w:sz="4" w:space="0"/>
              <w:right w:val="single" w:color="auto" w:sz="4" w:space="0"/>
            </w:tcBorders>
            <w:shd w:val="clear" w:color="000000" w:fill="FFFFFF"/>
            <w:vAlign w:val="center"/>
          </w:tcPr>
          <w:p w14:paraId="4D4CEC5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vMerge w:val="continue"/>
            <w:tcBorders>
              <w:top w:val="nil"/>
              <w:left w:val="single" w:color="auto" w:sz="4" w:space="0"/>
              <w:bottom w:val="single" w:color="auto" w:sz="4" w:space="0"/>
              <w:right w:val="single" w:color="auto" w:sz="4" w:space="0"/>
            </w:tcBorders>
            <w:vAlign w:val="center"/>
          </w:tcPr>
          <w:p w14:paraId="1B14A060">
            <w:pPr>
              <w:widowControl/>
              <w:jc w:val="center"/>
              <w:rPr>
                <w:rFonts w:ascii="Times New Roman" w:hAnsi="Times New Roman" w:eastAsia="仿宋_GB2312" w:cs="Times New Roman"/>
                <w:kern w:val="0"/>
                <w:sz w:val="24"/>
                <w:szCs w:val="24"/>
              </w:rPr>
            </w:pPr>
          </w:p>
        </w:tc>
        <w:tc>
          <w:tcPr>
            <w:tcW w:w="4659" w:type="dxa"/>
            <w:vMerge w:val="continue"/>
            <w:tcBorders>
              <w:top w:val="nil"/>
              <w:left w:val="single" w:color="auto" w:sz="4" w:space="0"/>
              <w:bottom w:val="single" w:color="auto" w:sz="4" w:space="0"/>
              <w:right w:val="single" w:color="auto" w:sz="4" w:space="0"/>
            </w:tcBorders>
            <w:vAlign w:val="center"/>
          </w:tcPr>
          <w:p w14:paraId="01594EA2">
            <w:pPr>
              <w:widowControl/>
              <w:jc w:val="center"/>
              <w:rPr>
                <w:rFonts w:ascii="Times New Roman" w:hAnsi="Times New Roman" w:eastAsia="仿宋_GB2312" w:cs="Times New Roman"/>
                <w:kern w:val="0"/>
                <w:sz w:val="24"/>
                <w:szCs w:val="24"/>
              </w:rPr>
            </w:pPr>
          </w:p>
        </w:tc>
      </w:tr>
      <w:tr w14:paraId="6146000B">
        <w:tblPrEx>
          <w:tblCellMar>
            <w:top w:w="0" w:type="dxa"/>
            <w:left w:w="108" w:type="dxa"/>
            <w:bottom w:w="0" w:type="dxa"/>
            <w:right w:w="108" w:type="dxa"/>
          </w:tblCellMar>
        </w:tblPrEx>
        <w:trPr>
          <w:trHeight w:val="284" w:hRule="atLeast"/>
        </w:trPr>
        <w:tc>
          <w:tcPr>
            <w:tcW w:w="846" w:type="dxa"/>
            <w:tcBorders>
              <w:top w:val="nil"/>
              <w:left w:val="single" w:color="auto" w:sz="4" w:space="0"/>
              <w:bottom w:val="single" w:color="auto" w:sz="4" w:space="0"/>
              <w:right w:val="single" w:color="auto" w:sz="4" w:space="0"/>
            </w:tcBorders>
            <w:noWrap/>
            <w:vAlign w:val="center"/>
          </w:tcPr>
          <w:p w14:paraId="2244B01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14</w:t>
            </w:r>
          </w:p>
        </w:tc>
        <w:tc>
          <w:tcPr>
            <w:tcW w:w="1559" w:type="dxa"/>
            <w:tcBorders>
              <w:top w:val="nil"/>
              <w:left w:val="nil"/>
              <w:bottom w:val="single" w:color="auto" w:sz="4" w:space="0"/>
              <w:right w:val="single" w:color="auto" w:sz="4" w:space="0"/>
            </w:tcBorders>
            <w:shd w:val="clear" w:color="000000" w:fill="FFFFFF"/>
            <w:vAlign w:val="center"/>
          </w:tcPr>
          <w:p w14:paraId="4025288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曲溪乡自来水厂</w:t>
            </w:r>
          </w:p>
        </w:tc>
        <w:tc>
          <w:tcPr>
            <w:tcW w:w="1134" w:type="dxa"/>
            <w:tcBorders>
              <w:top w:val="nil"/>
              <w:left w:val="nil"/>
              <w:bottom w:val="single" w:color="auto" w:sz="4" w:space="0"/>
              <w:right w:val="single" w:color="auto" w:sz="4" w:space="0"/>
            </w:tcBorders>
            <w:shd w:val="clear" w:color="000000" w:fill="FFFFFF"/>
            <w:vAlign w:val="center"/>
          </w:tcPr>
          <w:p w14:paraId="6C9043F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新人寨</w:t>
            </w:r>
          </w:p>
        </w:tc>
        <w:tc>
          <w:tcPr>
            <w:tcW w:w="1418" w:type="dxa"/>
            <w:tcBorders>
              <w:top w:val="nil"/>
              <w:left w:val="nil"/>
              <w:bottom w:val="single" w:color="auto" w:sz="4" w:space="0"/>
              <w:right w:val="single" w:color="auto" w:sz="4" w:space="0"/>
            </w:tcBorders>
            <w:shd w:val="clear" w:color="000000" w:fill="FFFFFF"/>
            <w:vAlign w:val="center"/>
          </w:tcPr>
          <w:p w14:paraId="758B554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山溪水</w:t>
            </w:r>
          </w:p>
        </w:tc>
        <w:tc>
          <w:tcPr>
            <w:tcW w:w="4110" w:type="dxa"/>
            <w:tcBorders>
              <w:top w:val="nil"/>
              <w:left w:val="nil"/>
              <w:bottom w:val="single" w:color="auto" w:sz="4" w:space="0"/>
              <w:right w:val="single" w:color="auto" w:sz="4" w:space="0"/>
            </w:tcBorders>
            <w:shd w:val="clear" w:color="000000" w:fill="FFFFFF"/>
            <w:vAlign w:val="center"/>
          </w:tcPr>
          <w:p w14:paraId="7D53982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取水点以上的整个汇水流域</w:t>
            </w:r>
          </w:p>
        </w:tc>
        <w:tc>
          <w:tcPr>
            <w:tcW w:w="4659" w:type="dxa"/>
            <w:tcBorders>
              <w:top w:val="nil"/>
              <w:left w:val="nil"/>
              <w:bottom w:val="single" w:color="auto" w:sz="4" w:space="0"/>
              <w:right w:val="single" w:color="auto" w:sz="4" w:space="0"/>
            </w:tcBorders>
            <w:shd w:val="clear" w:color="000000" w:fill="FFFFFF"/>
            <w:vAlign w:val="center"/>
          </w:tcPr>
          <w:p w14:paraId="0B01DB4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无</w:t>
            </w:r>
          </w:p>
        </w:tc>
      </w:tr>
      <w:tr w14:paraId="7351795A">
        <w:tblPrEx>
          <w:tblCellMar>
            <w:top w:w="0" w:type="dxa"/>
            <w:left w:w="108" w:type="dxa"/>
            <w:bottom w:w="0" w:type="dxa"/>
            <w:right w:w="108" w:type="dxa"/>
          </w:tblCellMar>
        </w:tblPrEx>
        <w:trPr>
          <w:trHeight w:val="312" w:hRule="atLeast"/>
        </w:trPr>
        <w:tc>
          <w:tcPr>
            <w:tcW w:w="846" w:type="dxa"/>
            <w:vMerge w:val="restart"/>
            <w:tcBorders>
              <w:top w:val="nil"/>
              <w:left w:val="single" w:color="auto" w:sz="4" w:space="0"/>
              <w:bottom w:val="single" w:color="auto" w:sz="4" w:space="0"/>
              <w:right w:val="single" w:color="auto" w:sz="4" w:space="0"/>
            </w:tcBorders>
            <w:noWrap/>
            <w:vAlign w:val="center"/>
          </w:tcPr>
          <w:p w14:paraId="557C8A4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15</w:t>
            </w:r>
          </w:p>
        </w:tc>
        <w:tc>
          <w:tcPr>
            <w:tcW w:w="1559" w:type="dxa"/>
            <w:vMerge w:val="restart"/>
            <w:tcBorders>
              <w:top w:val="nil"/>
              <w:left w:val="single" w:color="auto" w:sz="4" w:space="0"/>
              <w:bottom w:val="single" w:color="auto" w:sz="4" w:space="0"/>
              <w:right w:val="single" w:color="auto" w:sz="4" w:space="0"/>
            </w:tcBorders>
            <w:shd w:val="clear" w:color="000000" w:fill="FFFFFF"/>
            <w:vAlign w:val="center"/>
          </w:tcPr>
          <w:p w14:paraId="25D0947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文亨乡自来水厂</w:t>
            </w:r>
          </w:p>
        </w:tc>
        <w:tc>
          <w:tcPr>
            <w:tcW w:w="1134" w:type="dxa"/>
            <w:vMerge w:val="restart"/>
            <w:tcBorders>
              <w:top w:val="nil"/>
              <w:left w:val="single" w:color="auto" w:sz="4" w:space="0"/>
              <w:bottom w:val="single" w:color="auto" w:sz="4" w:space="0"/>
              <w:right w:val="single" w:color="auto" w:sz="4" w:space="0"/>
            </w:tcBorders>
            <w:shd w:val="clear" w:color="000000" w:fill="FFFFFF"/>
            <w:vAlign w:val="center"/>
          </w:tcPr>
          <w:p w14:paraId="4DDB68B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鸬鹚溪</w:t>
            </w: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14:paraId="754C76F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山溪水</w:t>
            </w:r>
          </w:p>
        </w:tc>
        <w:tc>
          <w:tcPr>
            <w:tcW w:w="4110" w:type="dxa"/>
            <w:vMerge w:val="restart"/>
            <w:tcBorders>
              <w:top w:val="nil"/>
              <w:left w:val="single" w:color="auto" w:sz="4" w:space="0"/>
              <w:bottom w:val="single" w:color="auto" w:sz="4" w:space="0"/>
              <w:right w:val="single" w:color="auto" w:sz="4" w:space="0"/>
            </w:tcBorders>
            <w:shd w:val="clear" w:color="000000" w:fill="FFFFFF"/>
            <w:vAlign w:val="center"/>
          </w:tcPr>
          <w:p w14:paraId="117CB6B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取水点至上游1千米的水域及两侧汇水流域；外洞电站下山坑库区；斋庵水库大坝至上游1千米内的汇水流域。</w:t>
            </w:r>
          </w:p>
        </w:tc>
        <w:tc>
          <w:tcPr>
            <w:tcW w:w="4659" w:type="dxa"/>
            <w:vMerge w:val="restart"/>
            <w:tcBorders>
              <w:top w:val="nil"/>
              <w:left w:val="single" w:color="auto" w:sz="4" w:space="0"/>
              <w:bottom w:val="single" w:color="auto" w:sz="4" w:space="0"/>
              <w:right w:val="single" w:color="auto" w:sz="4" w:space="0"/>
            </w:tcBorders>
            <w:shd w:val="clear" w:color="000000" w:fill="FFFFFF"/>
            <w:vAlign w:val="center"/>
          </w:tcPr>
          <w:p w14:paraId="7879CA4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一级保护区以上2千米内的水域及两侧汇水流域；外洞电站下山坑库区外2千米内的水域及汇水流域。</w:t>
            </w:r>
          </w:p>
        </w:tc>
      </w:tr>
      <w:tr w14:paraId="1069E946">
        <w:tblPrEx>
          <w:tblCellMar>
            <w:top w:w="0" w:type="dxa"/>
            <w:left w:w="108" w:type="dxa"/>
            <w:bottom w:w="0" w:type="dxa"/>
            <w:right w:w="108" w:type="dxa"/>
          </w:tblCellMar>
        </w:tblPrEx>
        <w:trPr>
          <w:trHeight w:val="312" w:hRule="atLeast"/>
        </w:trPr>
        <w:tc>
          <w:tcPr>
            <w:tcW w:w="846" w:type="dxa"/>
            <w:vMerge w:val="continue"/>
            <w:tcBorders>
              <w:top w:val="nil"/>
              <w:left w:val="single" w:color="auto" w:sz="4" w:space="0"/>
              <w:bottom w:val="single" w:color="auto" w:sz="4" w:space="0"/>
              <w:right w:val="single" w:color="auto" w:sz="4" w:space="0"/>
            </w:tcBorders>
            <w:vAlign w:val="center"/>
          </w:tcPr>
          <w:p w14:paraId="17A96C35">
            <w:pPr>
              <w:widowControl/>
              <w:jc w:val="center"/>
              <w:rPr>
                <w:rFonts w:ascii="Times New Roman" w:hAnsi="Times New Roman" w:eastAsia="仿宋_GB2312" w:cs="Times New Roman"/>
                <w:kern w:val="0"/>
                <w:sz w:val="24"/>
                <w:szCs w:val="24"/>
              </w:rPr>
            </w:pPr>
          </w:p>
        </w:tc>
        <w:tc>
          <w:tcPr>
            <w:tcW w:w="1559" w:type="dxa"/>
            <w:vMerge w:val="continue"/>
            <w:tcBorders>
              <w:top w:val="nil"/>
              <w:left w:val="single" w:color="auto" w:sz="4" w:space="0"/>
              <w:bottom w:val="single" w:color="auto" w:sz="4" w:space="0"/>
              <w:right w:val="single" w:color="auto" w:sz="4" w:space="0"/>
            </w:tcBorders>
            <w:vAlign w:val="center"/>
          </w:tcPr>
          <w:p w14:paraId="59A8E021">
            <w:pPr>
              <w:widowControl/>
              <w:jc w:val="center"/>
              <w:rPr>
                <w:rFonts w:ascii="Times New Roman" w:hAnsi="Times New Roman" w:eastAsia="仿宋_GB2312" w:cs="Times New Roman"/>
                <w:kern w:val="0"/>
                <w:sz w:val="24"/>
                <w:szCs w:val="24"/>
              </w:rPr>
            </w:pPr>
          </w:p>
        </w:tc>
        <w:tc>
          <w:tcPr>
            <w:tcW w:w="1134" w:type="dxa"/>
            <w:vMerge w:val="continue"/>
            <w:tcBorders>
              <w:top w:val="nil"/>
              <w:left w:val="single" w:color="auto" w:sz="4" w:space="0"/>
              <w:bottom w:val="single" w:color="auto" w:sz="4" w:space="0"/>
              <w:right w:val="single" w:color="auto" w:sz="4" w:space="0"/>
            </w:tcBorders>
            <w:vAlign w:val="center"/>
          </w:tcPr>
          <w:p w14:paraId="3EAB38A4">
            <w:pPr>
              <w:widowControl/>
              <w:jc w:val="center"/>
              <w:rPr>
                <w:rFonts w:ascii="Times New Roman" w:hAnsi="Times New Roman" w:eastAsia="仿宋_GB2312" w:cs="Times New Roman"/>
                <w:kern w:val="0"/>
                <w:sz w:val="24"/>
                <w:szCs w:val="24"/>
              </w:rPr>
            </w:pPr>
          </w:p>
        </w:tc>
        <w:tc>
          <w:tcPr>
            <w:tcW w:w="1418" w:type="dxa"/>
            <w:vMerge w:val="continue"/>
            <w:tcBorders>
              <w:top w:val="nil"/>
              <w:left w:val="single" w:color="auto" w:sz="4" w:space="0"/>
              <w:bottom w:val="single" w:color="auto" w:sz="4" w:space="0"/>
              <w:right w:val="single" w:color="auto" w:sz="4" w:space="0"/>
            </w:tcBorders>
            <w:vAlign w:val="center"/>
          </w:tcPr>
          <w:p w14:paraId="49A8BF93">
            <w:pPr>
              <w:widowControl/>
              <w:jc w:val="center"/>
              <w:rPr>
                <w:rFonts w:ascii="Times New Roman" w:hAnsi="Times New Roman" w:eastAsia="仿宋_GB2312" w:cs="Times New Roman"/>
                <w:kern w:val="0"/>
                <w:sz w:val="24"/>
                <w:szCs w:val="24"/>
              </w:rPr>
            </w:pPr>
          </w:p>
        </w:tc>
        <w:tc>
          <w:tcPr>
            <w:tcW w:w="4110" w:type="dxa"/>
            <w:vMerge w:val="continue"/>
            <w:tcBorders>
              <w:top w:val="nil"/>
              <w:left w:val="single" w:color="auto" w:sz="4" w:space="0"/>
              <w:bottom w:val="single" w:color="auto" w:sz="4" w:space="0"/>
              <w:right w:val="single" w:color="auto" w:sz="4" w:space="0"/>
            </w:tcBorders>
            <w:vAlign w:val="center"/>
          </w:tcPr>
          <w:p w14:paraId="69CA35A1">
            <w:pPr>
              <w:widowControl/>
              <w:jc w:val="center"/>
              <w:rPr>
                <w:rFonts w:ascii="Times New Roman" w:hAnsi="Times New Roman" w:eastAsia="仿宋_GB2312" w:cs="Times New Roman"/>
                <w:kern w:val="0"/>
                <w:sz w:val="24"/>
                <w:szCs w:val="24"/>
              </w:rPr>
            </w:pPr>
          </w:p>
        </w:tc>
        <w:tc>
          <w:tcPr>
            <w:tcW w:w="4659" w:type="dxa"/>
            <w:vMerge w:val="continue"/>
            <w:tcBorders>
              <w:top w:val="nil"/>
              <w:left w:val="single" w:color="auto" w:sz="4" w:space="0"/>
              <w:bottom w:val="single" w:color="auto" w:sz="4" w:space="0"/>
              <w:right w:val="single" w:color="auto" w:sz="4" w:space="0"/>
            </w:tcBorders>
            <w:vAlign w:val="center"/>
          </w:tcPr>
          <w:p w14:paraId="0D78496B">
            <w:pPr>
              <w:widowControl/>
              <w:jc w:val="center"/>
              <w:rPr>
                <w:rFonts w:ascii="Times New Roman" w:hAnsi="Times New Roman" w:eastAsia="仿宋_GB2312" w:cs="Times New Roman"/>
                <w:kern w:val="0"/>
                <w:sz w:val="24"/>
                <w:szCs w:val="24"/>
              </w:rPr>
            </w:pPr>
          </w:p>
        </w:tc>
      </w:tr>
      <w:tr w14:paraId="162609A6">
        <w:tblPrEx>
          <w:tblCellMar>
            <w:top w:w="0" w:type="dxa"/>
            <w:left w:w="108" w:type="dxa"/>
            <w:bottom w:w="0" w:type="dxa"/>
            <w:right w:w="108" w:type="dxa"/>
          </w:tblCellMar>
        </w:tblPrEx>
        <w:trPr>
          <w:trHeight w:val="312" w:hRule="atLeast"/>
        </w:trPr>
        <w:tc>
          <w:tcPr>
            <w:tcW w:w="846" w:type="dxa"/>
            <w:vMerge w:val="continue"/>
            <w:tcBorders>
              <w:top w:val="nil"/>
              <w:left w:val="single" w:color="auto" w:sz="4" w:space="0"/>
              <w:bottom w:val="single" w:color="auto" w:sz="4" w:space="0"/>
              <w:right w:val="single" w:color="auto" w:sz="4" w:space="0"/>
            </w:tcBorders>
            <w:vAlign w:val="center"/>
          </w:tcPr>
          <w:p w14:paraId="4A26EA5C">
            <w:pPr>
              <w:widowControl/>
              <w:jc w:val="center"/>
              <w:rPr>
                <w:rFonts w:ascii="Times New Roman" w:hAnsi="Times New Roman" w:eastAsia="仿宋_GB2312" w:cs="Times New Roman"/>
                <w:kern w:val="0"/>
                <w:sz w:val="24"/>
                <w:szCs w:val="24"/>
              </w:rPr>
            </w:pPr>
          </w:p>
        </w:tc>
        <w:tc>
          <w:tcPr>
            <w:tcW w:w="1559" w:type="dxa"/>
            <w:vMerge w:val="continue"/>
            <w:tcBorders>
              <w:top w:val="nil"/>
              <w:left w:val="single" w:color="auto" w:sz="4" w:space="0"/>
              <w:bottom w:val="single" w:color="auto" w:sz="4" w:space="0"/>
              <w:right w:val="single" w:color="auto" w:sz="4" w:space="0"/>
            </w:tcBorders>
            <w:vAlign w:val="center"/>
          </w:tcPr>
          <w:p w14:paraId="51F9B3A5">
            <w:pPr>
              <w:widowControl/>
              <w:jc w:val="center"/>
              <w:rPr>
                <w:rFonts w:ascii="Times New Roman" w:hAnsi="Times New Roman" w:eastAsia="仿宋_GB2312" w:cs="Times New Roman"/>
                <w:kern w:val="0"/>
                <w:sz w:val="24"/>
                <w:szCs w:val="24"/>
              </w:rPr>
            </w:pPr>
          </w:p>
        </w:tc>
        <w:tc>
          <w:tcPr>
            <w:tcW w:w="1134" w:type="dxa"/>
            <w:vMerge w:val="continue"/>
            <w:tcBorders>
              <w:top w:val="nil"/>
              <w:left w:val="single" w:color="auto" w:sz="4" w:space="0"/>
              <w:bottom w:val="single" w:color="auto" w:sz="4" w:space="0"/>
              <w:right w:val="single" w:color="auto" w:sz="4" w:space="0"/>
            </w:tcBorders>
            <w:vAlign w:val="center"/>
          </w:tcPr>
          <w:p w14:paraId="736DB42E">
            <w:pPr>
              <w:widowControl/>
              <w:jc w:val="center"/>
              <w:rPr>
                <w:rFonts w:ascii="Times New Roman" w:hAnsi="Times New Roman" w:eastAsia="仿宋_GB2312" w:cs="Times New Roman"/>
                <w:kern w:val="0"/>
                <w:sz w:val="24"/>
                <w:szCs w:val="24"/>
              </w:rPr>
            </w:pPr>
          </w:p>
        </w:tc>
        <w:tc>
          <w:tcPr>
            <w:tcW w:w="1418" w:type="dxa"/>
            <w:vMerge w:val="continue"/>
            <w:tcBorders>
              <w:top w:val="nil"/>
              <w:left w:val="single" w:color="auto" w:sz="4" w:space="0"/>
              <w:bottom w:val="single" w:color="auto" w:sz="4" w:space="0"/>
              <w:right w:val="single" w:color="auto" w:sz="4" w:space="0"/>
            </w:tcBorders>
            <w:vAlign w:val="center"/>
          </w:tcPr>
          <w:p w14:paraId="52A6307C">
            <w:pPr>
              <w:widowControl/>
              <w:jc w:val="center"/>
              <w:rPr>
                <w:rFonts w:ascii="Times New Roman" w:hAnsi="Times New Roman" w:eastAsia="仿宋_GB2312" w:cs="Times New Roman"/>
                <w:kern w:val="0"/>
                <w:sz w:val="24"/>
                <w:szCs w:val="24"/>
              </w:rPr>
            </w:pPr>
          </w:p>
        </w:tc>
        <w:tc>
          <w:tcPr>
            <w:tcW w:w="4110" w:type="dxa"/>
            <w:vMerge w:val="continue"/>
            <w:tcBorders>
              <w:top w:val="nil"/>
              <w:left w:val="single" w:color="auto" w:sz="4" w:space="0"/>
              <w:bottom w:val="single" w:color="auto" w:sz="4" w:space="0"/>
              <w:right w:val="single" w:color="auto" w:sz="4" w:space="0"/>
            </w:tcBorders>
            <w:vAlign w:val="center"/>
          </w:tcPr>
          <w:p w14:paraId="4C9EF4EA">
            <w:pPr>
              <w:widowControl/>
              <w:jc w:val="center"/>
              <w:rPr>
                <w:rFonts w:ascii="Times New Roman" w:hAnsi="Times New Roman" w:eastAsia="仿宋_GB2312" w:cs="Times New Roman"/>
                <w:kern w:val="0"/>
                <w:sz w:val="24"/>
                <w:szCs w:val="24"/>
              </w:rPr>
            </w:pPr>
          </w:p>
        </w:tc>
        <w:tc>
          <w:tcPr>
            <w:tcW w:w="4659" w:type="dxa"/>
            <w:vMerge w:val="continue"/>
            <w:tcBorders>
              <w:top w:val="nil"/>
              <w:left w:val="single" w:color="auto" w:sz="4" w:space="0"/>
              <w:bottom w:val="single" w:color="auto" w:sz="4" w:space="0"/>
              <w:right w:val="single" w:color="auto" w:sz="4" w:space="0"/>
            </w:tcBorders>
            <w:vAlign w:val="center"/>
          </w:tcPr>
          <w:p w14:paraId="0926961E">
            <w:pPr>
              <w:widowControl/>
              <w:jc w:val="center"/>
              <w:rPr>
                <w:rFonts w:ascii="Times New Roman" w:hAnsi="Times New Roman" w:eastAsia="仿宋_GB2312" w:cs="Times New Roman"/>
                <w:kern w:val="0"/>
                <w:sz w:val="24"/>
                <w:szCs w:val="24"/>
              </w:rPr>
            </w:pPr>
          </w:p>
        </w:tc>
      </w:tr>
      <w:tr w14:paraId="01589671">
        <w:tblPrEx>
          <w:tblCellMar>
            <w:top w:w="0" w:type="dxa"/>
            <w:left w:w="108" w:type="dxa"/>
            <w:bottom w:w="0" w:type="dxa"/>
            <w:right w:w="108" w:type="dxa"/>
          </w:tblCellMar>
        </w:tblPrEx>
        <w:trPr>
          <w:trHeight w:val="284" w:hRule="atLeast"/>
        </w:trPr>
        <w:tc>
          <w:tcPr>
            <w:tcW w:w="846" w:type="dxa"/>
            <w:vMerge w:val="restart"/>
            <w:tcBorders>
              <w:top w:val="nil"/>
              <w:left w:val="single" w:color="auto" w:sz="4" w:space="0"/>
              <w:bottom w:val="single" w:color="auto" w:sz="4" w:space="0"/>
              <w:right w:val="single" w:color="auto" w:sz="4" w:space="0"/>
            </w:tcBorders>
            <w:noWrap/>
            <w:vAlign w:val="center"/>
          </w:tcPr>
          <w:p w14:paraId="4C4CF18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16</w:t>
            </w:r>
          </w:p>
        </w:tc>
        <w:tc>
          <w:tcPr>
            <w:tcW w:w="1559" w:type="dxa"/>
            <w:vMerge w:val="restart"/>
            <w:tcBorders>
              <w:top w:val="nil"/>
              <w:left w:val="single" w:color="auto" w:sz="4" w:space="0"/>
              <w:bottom w:val="single" w:color="auto" w:sz="4" w:space="0"/>
              <w:right w:val="single" w:color="auto" w:sz="4" w:space="0"/>
            </w:tcBorders>
            <w:shd w:val="clear" w:color="000000" w:fill="FFFFFF"/>
            <w:vAlign w:val="center"/>
          </w:tcPr>
          <w:p w14:paraId="3ED9D7A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宣和乡自来水厂</w:t>
            </w:r>
          </w:p>
        </w:tc>
        <w:tc>
          <w:tcPr>
            <w:tcW w:w="1134" w:type="dxa"/>
            <w:tcBorders>
              <w:top w:val="nil"/>
              <w:left w:val="nil"/>
              <w:bottom w:val="single" w:color="auto" w:sz="4" w:space="0"/>
              <w:right w:val="single" w:color="auto" w:sz="4" w:space="0"/>
            </w:tcBorders>
            <w:shd w:val="clear" w:color="000000" w:fill="FFFFFF"/>
            <w:vAlign w:val="center"/>
          </w:tcPr>
          <w:p w14:paraId="4632E9D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寨头坑</w:t>
            </w:r>
          </w:p>
        </w:tc>
        <w:tc>
          <w:tcPr>
            <w:tcW w:w="1418" w:type="dxa"/>
            <w:tcBorders>
              <w:top w:val="nil"/>
              <w:left w:val="nil"/>
              <w:bottom w:val="single" w:color="auto" w:sz="4" w:space="0"/>
              <w:right w:val="single" w:color="auto" w:sz="4" w:space="0"/>
            </w:tcBorders>
            <w:shd w:val="clear" w:color="000000" w:fill="FFFFFF"/>
            <w:vAlign w:val="center"/>
          </w:tcPr>
          <w:p w14:paraId="2A411A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vMerge w:val="restart"/>
            <w:tcBorders>
              <w:top w:val="nil"/>
              <w:left w:val="single" w:color="auto" w:sz="4" w:space="0"/>
              <w:bottom w:val="single" w:color="auto" w:sz="4" w:space="0"/>
              <w:right w:val="single" w:color="auto" w:sz="4" w:space="0"/>
            </w:tcBorders>
            <w:shd w:val="clear" w:color="000000" w:fill="FFFFFF"/>
            <w:vAlign w:val="center"/>
          </w:tcPr>
          <w:p w14:paraId="1E9F61C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取水点以上的整个汇水流域</w:t>
            </w:r>
          </w:p>
        </w:tc>
        <w:tc>
          <w:tcPr>
            <w:tcW w:w="4659" w:type="dxa"/>
            <w:vMerge w:val="restart"/>
            <w:tcBorders>
              <w:top w:val="nil"/>
              <w:left w:val="single" w:color="auto" w:sz="4" w:space="0"/>
              <w:bottom w:val="single" w:color="auto" w:sz="4" w:space="0"/>
              <w:right w:val="single" w:color="auto" w:sz="4" w:space="0"/>
            </w:tcBorders>
            <w:shd w:val="clear" w:color="000000" w:fill="FFFFFF"/>
            <w:vAlign w:val="center"/>
          </w:tcPr>
          <w:p w14:paraId="6375C54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无</w:t>
            </w:r>
          </w:p>
        </w:tc>
      </w:tr>
      <w:tr w14:paraId="18C2F58C">
        <w:tblPrEx>
          <w:tblCellMar>
            <w:top w:w="0" w:type="dxa"/>
            <w:left w:w="108" w:type="dxa"/>
            <w:bottom w:w="0" w:type="dxa"/>
            <w:right w:w="108" w:type="dxa"/>
          </w:tblCellMar>
        </w:tblPrEx>
        <w:trPr>
          <w:trHeight w:val="284" w:hRule="atLeast"/>
        </w:trPr>
        <w:tc>
          <w:tcPr>
            <w:tcW w:w="846" w:type="dxa"/>
            <w:vMerge w:val="continue"/>
            <w:tcBorders>
              <w:top w:val="nil"/>
              <w:left w:val="single" w:color="auto" w:sz="4" w:space="0"/>
              <w:bottom w:val="single" w:color="auto" w:sz="4" w:space="0"/>
              <w:right w:val="single" w:color="auto" w:sz="4" w:space="0"/>
            </w:tcBorders>
            <w:vAlign w:val="center"/>
          </w:tcPr>
          <w:p w14:paraId="3E90137D">
            <w:pPr>
              <w:widowControl/>
              <w:jc w:val="center"/>
              <w:rPr>
                <w:rFonts w:ascii="Times New Roman" w:hAnsi="Times New Roman" w:eastAsia="仿宋_GB2312" w:cs="Times New Roman"/>
                <w:kern w:val="0"/>
                <w:sz w:val="24"/>
                <w:szCs w:val="24"/>
              </w:rPr>
            </w:pPr>
          </w:p>
        </w:tc>
        <w:tc>
          <w:tcPr>
            <w:tcW w:w="1559" w:type="dxa"/>
            <w:vMerge w:val="continue"/>
            <w:tcBorders>
              <w:top w:val="nil"/>
              <w:left w:val="single" w:color="auto" w:sz="4" w:space="0"/>
              <w:bottom w:val="single" w:color="auto" w:sz="4" w:space="0"/>
              <w:right w:val="single" w:color="auto" w:sz="4" w:space="0"/>
            </w:tcBorders>
            <w:vAlign w:val="center"/>
          </w:tcPr>
          <w:p w14:paraId="38488338">
            <w:pPr>
              <w:widowControl/>
              <w:jc w:val="center"/>
              <w:rPr>
                <w:rFonts w:ascii="Times New Roman" w:hAnsi="Times New Roman" w:eastAsia="仿宋_GB2312" w:cs="Times New Roman"/>
                <w:kern w:val="0"/>
                <w:sz w:val="24"/>
                <w:szCs w:val="24"/>
              </w:rPr>
            </w:pPr>
          </w:p>
        </w:tc>
        <w:tc>
          <w:tcPr>
            <w:tcW w:w="1134" w:type="dxa"/>
            <w:tcBorders>
              <w:top w:val="nil"/>
              <w:left w:val="nil"/>
              <w:bottom w:val="single" w:color="auto" w:sz="4" w:space="0"/>
              <w:right w:val="single" w:color="auto" w:sz="4" w:space="0"/>
            </w:tcBorders>
            <w:shd w:val="clear" w:color="000000" w:fill="FFFFFF"/>
            <w:vAlign w:val="center"/>
          </w:tcPr>
          <w:p w14:paraId="50DED4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大山</w:t>
            </w:r>
          </w:p>
        </w:tc>
        <w:tc>
          <w:tcPr>
            <w:tcW w:w="1418" w:type="dxa"/>
            <w:tcBorders>
              <w:top w:val="nil"/>
              <w:left w:val="nil"/>
              <w:bottom w:val="single" w:color="auto" w:sz="4" w:space="0"/>
              <w:right w:val="single" w:color="auto" w:sz="4" w:space="0"/>
            </w:tcBorders>
            <w:shd w:val="clear" w:color="000000" w:fill="FFFFFF"/>
            <w:vAlign w:val="center"/>
          </w:tcPr>
          <w:p w14:paraId="0F859F2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vMerge w:val="continue"/>
            <w:tcBorders>
              <w:top w:val="nil"/>
              <w:left w:val="single" w:color="auto" w:sz="4" w:space="0"/>
              <w:bottom w:val="single" w:color="auto" w:sz="4" w:space="0"/>
              <w:right w:val="single" w:color="auto" w:sz="4" w:space="0"/>
            </w:tcBorders>
            <w:vAlign w:val="center"/>
          </w:tcPr>
          <w:p w14:paraId="143814FB">
            <w:pPr>
              <w:widowControl/>
              <w:jc w:val="center"/>
              <w:rPr>
                <w:rFonts w:ascii="Times New Roman" w:hAnsi="Times New Roman" w:eastAsia="仿宋_GB2312" w:cs="Times New Roman"/>
                <w:kern w:val="0"/>
                <w:sz w:val="24"/>
                <w:szCs w:val="24"/>
              </w:rPr>
            </w:pPr>
          </w:p>
        </w:tc>
        <w:tc>
          <w:tcPr>
            <w:tcW w:w="4659" w:type="dxa"/>
            <w:vMerge w:val="continue"/>
            <w:tcBorders>
              <w:top w:val="nil"/>
              <w:left w:val="single" w:color="auto" w:sz="4" w:space="0"/>
              <w:bottom w:val="single" w:color="auto" w:sz="4" w:space="0"/>
              <w:right w:val="single" w:color="auto" w:sz="4" w:space="0"/>
            </w:tcBorders>
            <w:vAlign w:val="center"/>
          </w:tcPr>
          <w:p w14:paraId="4689AB4A">
            <w:pPr>
              <w:widowControl/>
              <w:jc w:val="center"/>
              <w:rPr>
                <w:rFonts w:ascii="Times New Roman" w:hAnsi="Times New Roman" w:eastAsia="仿宋_GB2312" w:cs="Times New Roman"/>
                <w:kern w:val="0"/>
                <w:sz w:val="24"/>
                <w:szCs w:val="24"/>
              </w:rPr>
            </w:pPr>
          </w:p>
        </w:tc>
      </w:tr>
      <w:tr w14:paraId="11A582CB">
        <w:tblPrEx>
          <w:tblCellMar>
            <w:top w:w="0" w:type="dxa"/>
            <w:left w:w="108" w:type="dxa"/>
            <w:bottom w:w="0" w:type="dxa"/>
            <w:right w:w="108" w:type="dxa"/>
          </w:tblCellMar>
        </w:tblPrEx>
        <w:trPr>
          <w:trHeight w:val="284" w:hRule="atLeast"/>
        </w:trPr>
        <w:tc>
          <w:tcPr>
            <w:tcW w:w="846" w:type="dxa"/>
            <w:vMerge w:val="continue"/>
            <w:tcBorders>
              <w:top w:val="nil"/>
              <w:left w:val="single" w:color="auto" w:sz="4" w:space="0"/>
              <w:bottom w:val="single" w:color="auto" w:sz="4" w:space="0"/>
              <w:right w:val="single" w:color="auto" w:sz="4" w:space="0"/>
            </w:tcBorders>
            <w:vAlign w:val="center"/>
          </w:tcPr>
          <w:p w14:paraId="0A52C824">
            <w:pPr>
              <w:widowControl/>
              <w:jc w:val="center"/>
              <w:rPr>
                <w:rFonts w:ascii="Times New Roman" w:hAnsi="Times New Roman" w:eastAsia="仿宋_GB2312" w:cs="Times New Roman"/>
                <w:kern w:val="0"/>
                <w:sz w:val="24"/>
                <w:szCs w:val="24"/>
              </w:rPr>
            </w:pPr>
          </w:p>
        </w:tc>
        <w:tc>
          <w:tcPr>
            <w:tcW w:w="1559" w:type="dxa"/>
            <w:vMerge w:val="continue"/>
            <w:tcBorders>
              <w:top w:val="nil"/>
              <w:left w:val="single" w:color="auto" w:sz="4" w:space="0"/>
              <w:bottom w:val="single" w:color="auto" w:sz="4" w:space="0"/>
              <w:right w:val="single" w:color="auto" w:sz="4" w:space="0"/>
            </w:tcBorders>
            <w:vAlign w:val="center"/>
          </w:tcPr>
          <w:p w14:paraId="24D4BD1C">
            <w:pPr>
              <w:widowControl/>
              <w:jc w:val="center"/>
              <w:rPr>
                <w:rFonts w:ascii="Times New Roman" w:hAnsi="Times New Roman" w:eastAsia="仿宋_GB2312" w:cs="Times New Roman"/>
                <w:kern w:val="0"/>
                <w:sz w:val="24"/>
                <w:szCs w:val="24"/>
              </w:rPr>
            </w:pPr>
          </w:p>
        </w:tc>
        <w:tc>
          <w:tcPr>
            <w:tcW w:w="1134" w:type="dxa"/>
            <w:tcBorders>
              <w:top w:val="nil"/>
              <w:left w:val="nil"/>
              <w:bottom w:val="single" w:color="auto" w:sz="4" w:space="0"/>
              <w:right w:val="single" w:color="auto" w:sz="4" w:space="0"/>
            </w:tcBorders>
            <w:shd w:val="clear" w:color="000000" w:fill="FFFFFF"/>
            <w:vAlign w:val="center"/>
          </w:tcPr>
          <w:p w14:paraId="10679F3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山兰坑</w:t>
            </w:r>
          </w:p>
        </w:tc>
        <w:tc>
          <w:tcPr>
            <w:tcW w:w="1418" w:type="dxa"/>
            <w:tcBorders>
              <w:top w:val="nil"/>
              <w:left w:val="nil"/>
              <w:bottom w:val="single" w:color="auto" w:sz="4" w:space="0"/>
              <w:right w:val="single" w:color="auto" w:sz="4" w:space="0"/>
            </w:tcBorders>
            <w:shd w:val="clear" w:color="000000" w:fill="FFFFFF"/>
            <w:vAlign w:val="center"/>
          </w:tcPr>
          <w:p w14:paraId="72538B6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山坑水</w:t>
            </w:r>
          </w:p>
        </w:tc>
        <w:tc>
          <w:tcPr>
            <w:tcW w:w="4110" w:type="dxa"/>
            <w:vMerge w:val="continue"/>
            <w:tcBorders>
              <w:top w:val="nil"/>
              <w:left w:val="single" w:color="auto" w:sz="4" w:space="0"/>
              <w:bottom w:val="single" w:color="auto" w:sz="4" w:space="0"/>
              <w:right w:val="single" w:color="auto" w:sz="4" w:space="0"/>
            </w:tcBorders>
            <w:vAlign w:val="center"/>
          </w:tcPr>
          <w:p w14:paraId="0A17850D">
            <w:pPr>
              <w:widowControl/>
              <w:jc w:val="center"/>
              <w:rPr>
                <w:rFonts w:ascii="Times New Roman" w:hAnsi="Times New Roman" w:eastAsia="仿宋_GB2312" w:cs="Times New Roman"/>
                <w:kern w:val="0"/>
                <w:sz w:val="24"/>
                <w:szCs w:val="24"/>
              </w:rPr>
            </w:pPr>
          </w:p>
        </w:tc>
        <w:tc>
          <w:tcPr>
            <w:tcW w:w="4659" w:type="dxa"/>
            <w:vMerge w:val="continue"/>
            <w:tcBorders>
              <w:top w:val="nil"/>
              <w:left w:val="single" w:color="auto" w:sz="4" w:space="0"/>
              <w:bottom w:val="single" w:color="auto" w:sz="4" w:space="0"/>
              <w:right w:val="single" w:color="auto" w:sz="4" w:space="0"/>
            </w:tcBorders>
            <w:vAlign w:val="center"/>
          </w:tcPr>
          <w:p w14:paraId="4357F1CE">
            <w:pPr>
              <w:widowControl/>
              <w:jc w:val="center"/>
              <w:rPr>
                <w:rFonts w:ascii="Times New Roman" w:hAnsi="Times New Roman" w:eastAsia="仿宋_GB2312" w:cs="Times New Roman"/>
                <w:kern w:val="0"/>
                <w:sz w:val="24"/>
                <w:szCs w:val="24"/>
              </w:rPr>
            </w:pPr>
          </w:p>
        </w:tc>
      </w:tr>
    </w:tbl>
    <w:p w14:paraId="0B7F0AC7">
      <w:pPr>
        <w:rPr>
          <w:rFonts w:ascii="Times New Roman" w:hAnsi="Times New Roman" w:eastAsia="仿宋_GB2312" w:cs="Times New Roman"/>
          <w:sz w:val="32"/>
          <w:szCs w:val="32"/>
        </w:rPr>
      </w:pPr>
    </w:p>
    <w:p w14:paraId="2E0CFBDC">
      <w:pPr>
        <w:rPr>
          <w:rFonts w:ascii="Times New Roman" w:hAnsi="Times New Roman" w:eastAsia="仿宋_GB2312" w:cs="Times New Roman"/>
          <w:sz w:val="32"/>
          <w:szCs w:val="32"/>
        </w:rPr>
        <w:sectPr>
          <w:pgSz w:w="16838" w:h="11906" w:orient="landscape"/>
          <w:pgMar w:top="1800" w:right="1440" w:bottom="1800" w:left="1440" w:header="851" w:footer="992" w:gutter="0"/>
          <w:cols w:space="425" w:num="1"/>
          <w:docGrid w:type="lines" w:linePitch="312" w:charSpace="0"/>
        </w:sectPr>
      </w:pPr>
    </w:p>
    <w:p w14:paraId="3D149C2E">
      <w:pP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附件5：</w:t>
      </w:r>
    </w:p>
    <w:p w14:paraId="3CD57F08">
      <w:pPr>
        <w:ind w:firstLine="640" w:firstLineChars="200"/>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连城县冠豸山风景名胜区范围</w:t>
      </w:r>
    </w:p>
    <w:p w14:paraId="393E9092">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冠豸山风景名胜区规划区范围总面积为133.08平方公里，由冠豸山片区和赖源片区组成。冠豸山片区面积为100.99平方公里，四至范围：北至塘前乡；南至福地村；西以观景路为界至江坊村；东至姑田镇。赖源片区面积为32.09平方公里，四至范围：北至横山亭北侧；南至横壁山西侧；西至将军山东侧；东至铁长洋。</w:t>
      </w:r>
    </w:p>
    <w:p w14:paraId="303D106D">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冠豸山风景名胜区核心景区范围总面积为43.42平方公里。冠豸山片区核心景区总面积30.4平方公里，四至范围：西侧以观景路为界；北侧边界云霄岩100-500米；南侧以旗石寨100-500米为界；东侧至迪坑村往东1000米。赖源片区核心景区面积为13.02平方公里，四至范围：包含西侧森林资源较好的区域面积3.51平方公里；中部溶洞集中发育的区域面积4.91平方公里；上地水库及周边区域面积2.27平方公里；廖天山草场北部的老鹰岩、笔架山等森林植被保持较好的区域面积2.33平方公里。</w:t>
      </w:r>
    </w:p>
    <w:p w14:paraId="1E6BFD8D">
      <w:pPr>
        <w:ind w:firstLine="640" w:firstLineChars="200"/>
        <w:rPr>
          <w:rFonts w:ascii="Times New Roman" w:hAnsi="Times New Roman" w:eastAsia="仿宋_GB2312" w:cs="Times New Roman"/>
          <w:sz w:val="32"/>
          <w:szCs w:val="32"/>
        </w:rPr>
      </w:pPr>
    </w:p>
    <w:p w14:paraId="5E3C8E03">
      <w:pPr>
        <w:ind w:firstLine="640" w:firstLineChars="200"/>
        <w:rPr>
          <w:rFonts w:ascii="Times New Roman" w:hAnsi="Times New Roman" w:eastAsia="仿宋_GB2312" w:cs="Times New Roman"/>
          <w:sz w:val="32"/>
          <w:szCs w:val="32"/>
        </w:rPr>
      </w:pPr>
    </w:p>
    <w:p w14:paraId="108889C7">
      <w:pPr>
        <w:ind w:firstLine="640" w:firstLineChars="200"/>
        <w:rPr>
          <w:rFonts w:ascii="Times New Roman" w:hAnsi="Times New Roman" w:eastAsia="仿宋_GB2312" w:cs="Times New Roman"/>
          <w:sz w:val="32"/>
          <w:szCs w:val="32"/>
        </w:rPr>
      </w:pPr>
    </w:p>
    <w:p w14:paraId="43669965">
      <w:pPr>
        <w:ind w:firstLine="640" w:firstLineChars="200"/>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yM2E1NTE5YzVmNDRhYjcxMGUwZWZjYmNhZTJlMDkifQ=="/>
  </w:docVars>
  <w:rsids>
    <w:rsidRoot w:val="00117653"/>
    <w:rsid w:val="000848D8"/>
    <w:rsid w:val="00085AA7"/>
    <w:rsid w:val="000A1AE5"/>
    <w:rsid w:val="000B1BE6"/>
    <w:rsid w:val="000C6C67"/>
    <w:rsid w:val="00114468"/>
    <w:rsid w:val="00117653"/>
    <w:rsid w:val="0012591C"/>
    <w:rsid w:val="0013299B"/>
    <w:rsid w:val="00136378"/>
    <w:rsid w:val="001A2ED5"/>
    <w:rsid w:val="001B40CA"/>
    <w:rsid w:val="00226236"/>
    <w:rsid w:val="00230C32"/>
    <w:rsid w:val="00251DAF"/>
    <w:rsid w:val="00251DF4"/>
    <w:rsid w:val="002531BA"/>
    <w:rsid w:val="00260E51"/>
    <w:rsid w:val="00271706"/>
    <w:rsid w:val="00281915"/>
    <w:rsid w:val="00291710"/>
    <w:rsid w:val="002C4BD2"/>
    <w:rsid w:val="003007C3"/>
    <w:rsid w:val="00343632"/>
    <w:rsid w:val="003633FE"/>
    <w:rsid w:val="003879CE"/>
    <w:rsid w:val="00392474"/>
    <w:rsid w:val="00395D99"/>
    <w:rsid w:val="003A595C"/>
    <w:rsid w:val="003C01DE"/>
    <w:rsid w:val="003C247D"/>
    <w:rsid w:val="00437D55"/>
    <w:rsid w:val="004471F5"/>
    <w:rsid w:val="004516BB"/>
    <w:rsid w:val="0046453C"/>
    <w:rsid w:val="004D14ED"/>
    <w:rsid w:val="004D7024"/>
    <w:rsid w:val="00502618"/>
    <w:rsid w:val="0051014D"/>
    <w:rsid w:val="00554AC0"/>
    <w:rsid w:val="005A4FB6"/>
    <w:rsid w:val="005B3417"/>
    <w:rsid w:val="005C0F0A"/>
    <w:rsid w:val="005C46A8"/>
    <w:rsid w:val="00606352"/>
    <w:rsid w:val="00606A81"/>
    <w:rsid w:val="00623092"/>
    <w:rsid w:val="00690C9C"/>
    <w:rsid w:val="006A7423"/>
    <w:rsid w:val="006B66B5"/>
    <w:rsid w:val="006C3BFD"/>
    <w:rsid w:val="0079246C"/>
    <w:rsid w:val="007A00B5"/>
    <w:rsid w:val="007A25DC"/>
    <w:rsid w:val="007C5E8B"/>
    <w:rsid w:val="007F04C7"/>
    <w:rsid w:val="0082659E"/>
    <w:rsid w:val="00831EB2"/>
    <w:rsid w:val="0086051A"/>
    <w:rsid w:val="00887349"/>
    <w:rsid w:val="008B0516"/>
    <w:rsid w:val="008B1DE5"/>
    <w:rsid w:val="008C6496"/>
    <w:rsid w:val="008E1F78"/>
    <w:rsid w:val="008F0030"/>
    <w:rsid w:val="00903A06"/>
    <w:rsid w:val="00907C88"/>
    <w:rsid w:val="009128FF"/>
    <w:rsid w:val="00941B2E"/>
    <w:rsid w:val="00943006"/>
    <w:rsid w:val="009518BD"/>
    <w:rsid w:val="00965822"/>
    <w:rsid w:val="00976B25"/>
    <w:rsid w:val="00A74614"/>
    <w:rsid w:val="00A874F4"/>
    <w:rsid w:val="00AA1318"/>
    <w:rsid w:val="00AC05FE"/>
    <w:rsid w:val="00AC7D3A"/>
    <w:rsid w:val="00AD42E1"/>
    <w:rsid w:val="00B048BC"/>
    <w:rsid w:val="00B05D21"/>
    <w:rsid w:val="00B0619B"/>
    <w:rsid w:val="00B21774"/>
    <w:rsid w:val="00B23858"/>
    <w:rsid w:val="00B53E87"/>
    <w:rsid w:val="00B77E17"/>
    <w:rsid w:val="00B86101"/>
    <w:rsid w:val="00BB19B8"/>
    <w:rsid w:val="00BC500D"/>
    <w:rsid w:val="00BD513E"/>
    <w:rsid w:val="00C22233"/>
    <w:rsid w:val="00C27AE9"/>
    <w:rsid w:val="00C41709"/>
    <w:rsid w:val="00C461DA"/>
    <w:rsid w:val="00C57A68"/>
    <w:rsid w:val="00C924E1"/>
    <w:rsid w:val="00CA702A"/>
    <w:rsid w:val="00CB01DB"/>
    <w:rsid w:val="00CB51A6"/>
    <w:rsid w:val="00CF025B"/>
    <w:rsid w:val="00CF1464"/>
    <w:rsid w:val="00D177C5"/>
    <w:rsid w:val="00D5113B"/>
    <w:rsid w:val="00D5494D"/>
    <w:rsid w:val="00D75794"/>
    <w:rsid w:val="00D8710A"/>
    <w:rsid w:val="00DB578D"/>
    <w:rsid w:val="00DE1520"/>
    <w:rsid w:val="00E158CF"/>
    <w:rsid w:val="00E224E8"/>
    <w:rsid w:val="00E26627"/>
    <w:rsid w:val="00E439DC"/>
    <w:rsid w:val="00E465A5"/>
    <w:rsid w:val="00EA18BB"/>
    <w:rsid w:val="00EB39A6"/>
    <w:rsid w:val="00EF03BB"/>
    <w:rsid w:val="00F139C6"/>
    <w:rsid w:val="00F1590B"/>
    <w:rsid w:val="00F356F7"/>
    <w:rsid w:val="00F52C77"/>
    <w:rsid w:val="00F57715"/>
    <w:rsid w:val="00F642D8"/>
    <w:rsid w:val="00F77C56"/>
    <w:rsid w:val="00FB60CC"/>
    <w:rsid w:val="00FD07ED"/>
    <w:rsid w:val="00FE092E"/>
    <w:rsid w:val="00FE1940"/>
    <w:rsid w:val="04950C0C"/>
    <w:rsid w:val="5A945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14:ligatures w14:val="standardContextual"/>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14:ligatures w14:val="standardContextual"/>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14:ligatures w14:val="standardContextual"/>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14:ligatures w14:val="standardContextua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14:ligatures w14:val="standardContextua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14:ligatures w14:val="standardContextua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14:ligatures w14:val="standardContextual"/>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14:ligatures w14:val="standardContextual"/>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14:ligatures w14:val="none"/>
    </w:rPr>
  </w:style>
  <w:style w:type="character" w:customStyle="1" w:styleId="36">
    <w:name w:val="页脚 字符"/>
    <w:basedOn w:val="16"/>
    <w:link w:val="11"/>
    <w:qFormat/>
    <w:uiPriority w:val="99"/>
    <w:rPr>
      <w:sz w:val="18"/>
      <w:szCs w:val="18"/>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4336-B7EE-45D3-81E9-7F149D5A19EF}">
  <ds:schemaRefs/>
</ds:datastoreItem>
</file>

<file path=docProps/app.xml><?xml version="1.0" encoding="utf-8"?>
<Properties xmlns="http://schemas.openxmlformats.org/officeDocument/2006/extended-properties" xmlns:vt="http://schemas.openxmlformats.org/officeDocument/2006/docPropsVTypes">
  <Template>Normal</Template>
  <Pages>14</Pages>
  <Words>5651</Words>
  <Characters>6011</Characters>
  <Lines>44</Lines>
  <Paragraphs>12</Paragraphs>
  <TotalTime>555</TotalTime>
  <ScaleCrop>false</ScaleCrop>
  <LinksUpToDate>false</LinksUpToDate>
  <CharactersWithSpaces>6017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2025-05-19T07:54:00Z</dcterms:created>
  <dc:creator>tao lin</dc:creator>
  <cp:lastModifiedBy>鸭子</cp:lastModifiedBy>
  <dcterms:modified xsi:type="dcterms:W3CDTF">2025-09-11T03:49:11Z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4D4166B27E4F43EB83C2C5388C5D68EE_12</vt:lpwstr>
  </property>
</Properties>
</file>