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1F2329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1F2329"/>
          <w:sz w:val="44"/>
          <w:szCs w:val="44"/>
        </w:rPr>
        <w:t>连城县农资生产经营主体重点监控管理实施细则（试行）</w:t>
      </w:r>
      <w:r>
        <w:rPr>
          <w:rFonts w:hint="eastAsia" w:ascii="方正小标宋简体" w:hAnsi="方正小标宋简体" w:eastAsia="方正小标宋简体" w:cs="方正小标宋简体"/>
          <w:color w:val="1F2329"/>
          <w:sz w:val="44"/>
          <w:szCs w:val="44"/>
          <w:lang w:eastAsia="zh-CN"/>
        </w:rPr>
        <w:t>（征求意见稿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1F2329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为持续规范我县农资市场经营秩序，压实乡镇属地监管责任，打通农资监管基层落地环节，筑牢农业生产安全和特色农产品质量安全底线，精准防范农资领域坑农害农违法风险，健全“县大队统筹、乡镇落实、全域闭环”的常态化农资监管工作机制，依据《中华人民共和国农产品质量安全法》《农药管理条例》《肥料登记管理办法》及《福建省农资企业重点监控制度》（闽农规〔2026〕2号）等法规文件，结合连城县各乡镇农业产业特点、农资门店分布零散、基层监管工作面广量大的实际情况，制定本实施细则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本细则适用于全县各乡镇辖区内从事农药、肥料、种子、农用物资等种植业农资生产、线下门店经营、仓储代销、流动售卖、线上销售的所有市场主体。文件用于统一指导各乡镇农业服务中心开展日常排查、日常监管、隐患报送、普法引导、问题整改等基础性业务工作，由连城县农业</w:t>
      </w:r>
      <w:r>
        <w:rPr>
          <w:rFonts w:hint="eastAsia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农村局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统筹业务标准、执法查处、名单审定、督导评价，各乡镇落实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属地</w:t>
      </w:r>
      <w:r>
        <w:rPr>
          <w:rFonts w:hint="eastAsia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监管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工作。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第一章 总则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textAlignment w:val="auto"/>
        <w:rPr>
          <w:rFonts w:hint="eastAsia" w:ascii="楷体" w:hAnsi="楷体" w:eastAsia="楷体" w:cs="楷体"/>
          <w:b w:val="0"/>
          <w:bCs w:val="0"/>
          <w:color w:val="1F2329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1F2329"/>
          <w:sz w:val="32"/>
          <w:szCs w:val="32"/>
        </w:rPr>
        <w:t>第一条 工作目标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聚焦我县各乡镇特色果蔬、粮油等主导种植业生产需求，紧盯乡镇农资门店多、分布散、风险隐蔽性强的监管难点，通过标准化明确乡镇排查标准、细化重点主体认定情形、落实乡镇日常属地管控、建立县乡联动闭环机制，精准排查整治乡镇农资领域突出隐患，严厉打击基层制售假劣农资、违规经营禁限用农资等坑农害农行为，压实乡镇监管责任和经营主体自律责任，规范乡村农资流通、销售、使用全链条秩序，切实保障乡镇农业生产安全、农产品质量安全和广大农户合法权益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1F2329"/>
          <w:sz w:val="32"/>
          <w:szCs w:val="32"/>
        </w:rPr>
        <w:t>第二条 适用主体范围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本细则所管控的重点监控对象，覆盖全县各乡镇辖区内所有农资生产主体、村级农资经营门店、乡镇仓储配送网点、农资线上销售店铺、种植基地配套农资代销点位、流动农资售卖摊点等全部农资经营主体。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第三条 县乡两级职责分工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县农业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农村局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职责：负责统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筹全县重点监控工作整体部署，统一制定乡镇监管标准、排查清单、工作流程；负责重点监控主体名单初审、复核、审定、公示、报送；负责开展乡镇业务指导、集中培训、督导检查、执法抽检；负责对乡镇报送的疑难线索、重大隐患开展立案查处、联合执法、行刑衔接；负责动态更新重点监控台账、落实差异化加严监管及信用约束工作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乡镇属地监管职责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u w:val="none"/>
          <w:lang w:val="en-US" w:eastAsia="zh-CN" w:bidi="ar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负责常态化开展辖区农资门店、仓储点位全覆盖日常巡查、隐患排查、现场核查；负责收集汇总辖区农资主体违法违规线索、异常经营情况、农户投诉问题，按时限规范报送；负责督促辖区经营主体落实台账登记、合规经营、隐患自查整改；负责落地日常普法宣传、政策告知、主体教育引导；配合县农业</w:t>
      </w:r>
      <w:r>
        <w:rPr>
          <w:rFonts w:hint="eastAsia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农村局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开展专项检查、产品抽检、案件调查、问题整改复核等工作，全面夯实基层农资监管基础。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第二章 重点监控主体认定标准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结合乡镇日常监管排查实操场景，细化农资生产、经营主体重点监控认定情形，各乡镇在日常巡查、季度排查、专项整治中，发现县域农资主体符合下列情形之一的，及时梳理线索报送，由县农业</w:t>
      </w:r>
      <w:r>
        <w:rPr>
          <w:rFonts w:hint="eastAsia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农村局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核实后纳入县级农资重点监控主体名单管理。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第四条 生产类主体重点监控情形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一）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擅自生产国家明令禁止使用的农业投入品，被执法部门依法作出行政处罚的；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二）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十二个月周期内，因农资产品质量不达标、生产流程不合规等问题，被执法部门立案查处2次及以上的；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三）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单次执法检查、抽检中，查实3种及以上不合格、不合规农资产品的；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四）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年度内农资产品质量监督抽检结果异议复核中，累计5批次及以上否认自身产品资质及质量认定结果的；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五）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因产品质量缺陷、侵权假冒等问题，引发乡镇区域性农业生产损失、农户大规模投诉、造成不良社会影响的；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六）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存在其他严重违法违规经营行为，涉嫌移送司法机关处置的。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第五条 经营类主体重点监控情形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一）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违规经营、销售国家禁用农资产品，被依法行政处罚的；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二）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十二个月内存在超许可范围经营、违规销售限用农资、台账造假、无台账经营等违法违规行为，被立案查处2次及以上的；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三）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单次乡镇排查或县级核查中，查实3种及以上假劣、过期、无登记证、标签残缺、三无农资等违规产品的；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四）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销售的农资产品存在质量问题，导致辖区农户种植减产、病虫害大面积</w:t>
      </w:r>
      <w:r>
        <w:rPr>
          <w:rFonts w:hint="eastAsia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暴发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，造成经济损失或负面舆情的；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五）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连锁经营企业下属乡镇门店、村级代销点位出现符合重点监控情形违法行为的，同步溯源将所属经营企业纳入重点监控；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六）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多次拒不配合乡镇日常巡查、县级执法检查，隐匿、销毁经营台账，阻挠产品抽检，违法行为情节严重的；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七）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涉嫌农资违法犯罪，依法移送司法机关处理的其他情形。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第六条 上级联动纳入情形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凡被纳入农业农村部、福建省农资重点监控企业名单，或连续两年列入省级以上监督抽检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不合格名录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的我县乡镇辖区农资生产经营主体，直接纳入县级重点监控名单实施专项管控，由属地乡镇重点跟踪监管。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第三章 认定程序与乡镇业务流程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第七条 乡镇线索排查与常态化报送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各乡镇落实常态化排查制度，实行“季度全覆盖排查、关键农时重点排查、问题点位动态巡查”，全面排查辖区农资经营主体资质、陈列仓储、台账追溯、产品质量、禁限用农资管控等情况。对排查发现的违规线索、隐患问题、异常经营行为，建立乡镇村级农资问题台账，做到一事一记、一户一档，按时报送县农业农村局，确保线索无遗漏、隐患不积压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第八条 县级初审与乡镇联合复核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县农业</w:t>
      </w:r>
      <w:r>
        <w:rPr>
          <w:rFonts w:hint="eastAsia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农村局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每月汇总各乡镇报送的问题线索，对照认定标准初审拟纳入重点监控的主体名单，核实违法情节、处罚文书、隐患事实。对初步判定符合重点监控条件的主体，牵头组织属地乡镇开展联合现场复核，核查经营现状、问题整改情况、风险隐患存续情况，确保认定精准、事实清楚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第九条 告知申辩与乡镇协助核实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对拟纳入重点监控名单的农资主体，由县农业综合执法大队依法书面告知认定事由、监管措施及陈述申辩权利。属地乡镇配合做好现场告知、政策解释、材料收集工作，对主体提出的异议和申辩材料，协助中队开展实地核查、情况核实，及时反馈核查结果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第十条 审定公示与乡镇同步管控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县农业综合执法大队完成复核工作后，拟定年度重点监控主体名单，报县农业农村局审定并按要求报送市级部门，审定通过后公开公示。名单同步推送至各乡镇农业服务中心，由乡镇纳入重点监管台账，落实属地常态化盯守管控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第四章 县乡联动监管与动态管控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第十一条 分级分类监管工作要求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对纳入重点监控的农资经营主体，实行县级从严执法、乡镇常态盯守的差异化分层监管模式，压实县乡两级监管责任：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一）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乡镇属地日常管控：各乡镇对辖区重点监控主体实行每季度不少于1次专项巡查，在春耕、夏管、秋收等关键农时加密巡查频次，农忙关键时节可增加至每月巡查；重点核查门店合规经营、库存清理、台账更新、隐患整改、禁限用农资管控等情况，及时报送新问题、新隐患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二）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县级执法精准抽检：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县农业综合执法大队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对重点监控主体每年开展不少于2次全覆盖监督检查，落实每年不少于3批次执法抽检，聚焦乡镇高风险农资、特色作物专用农资开展靶向抽检，严防不合格产品流入田间地头。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三）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县乡联合闭环整改：乡镇负责日常隐患发现、现场督促整改、整改初核；县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农业综合执法大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队负责立案查处、整改复核、销号管理，形成 “乡镇排查—县级核查—执法处置—整改复核—闭环销号” 的完整工作链条。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四）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常态化自查报送督导：乡镇督促辖区重点监控主体按期报送自查报告、进销台账、库存清单，乡镇先行初审汇总后报送县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  <w:lang w:val="en-US" w:eastAsia="zh-CN"/>
        </w:rPr>
        <w:t>农业综合执法大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  <w:t>队，实现动态跟踪、全程可控。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textAlignment w:val="auto"/>
        <w:rPr>
          <w:rFonts w:hint="eastAsia" w:ascii="楷体" w:hAnsi="楷体" w:eastAsia="楷体" w:cs="楷体"/>
          <w:b/>
          <w:bCs/>
          <w:color w:val="1F2329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1F2329"/>
          <w:sz w:val="32"/>
          <w:szCs w:val="32"/>
        </w:rPr>
        <w:t>第十二条 重点监控周期管理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县级农资重点监控主体管控周期为2年。管控周期内，经乡镇常态化巡查、县级核查未发现新增违规情形、主体持续合规经营的，期满后自动解除重点监控，纳入乡镇常规日常监管名录。管控期内再次出现违规情形的，重新计算管控周期，由县乡两级持续从严监管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第十三条 整改提升与信用约束联动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对重点监控主体存在的问题隐患，实行“一主体一整改方案”，乡镇负责全程跟踪督促整改、日常提醒警示，县农业综合执法大队负责依法查处、从严督办。对拒不整改、反复违规、隐患突出的经营主体，纳入农资经营信用负面清单，落实联合惩戒，乡镇同步强化日常重点盯守，坚决防范基层农资风险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第五章 乡镇工作业务规范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第十四条 乡镇常态化工作规范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各乡镇需建立健全辖区农资经营主体台账、重点风险隐患台账、重点监控主体监管台账，做到底数清、情况明、台账全、更新及时。严格落实排查记录、巡查照片、整改记录、报送记录留痕制度，实现基层农资监管工作可追溯、可核查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第十五条 业务指导与督导评价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县农业农村局定期开展乡镇农资监管业务培训，统一排查标准、认定尺度、报送流程、台账规范。将乡镇重点监控主体排查、隐患报送、整改落实、日常巡查等工作纳入农资监管业务督导，开展业务评价。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第六章 附则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第十六条 名词界定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本细则所称“依法查处”，特指农业执法部门通过普通程序作出正式行政处罚决定的案件；所称“十二个月周期”，统一按违法行为发生之日起十二个自然月为计算周期。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第十七条 制度衔接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本细则未尽事宜，严格按照国家、省、市农资监管相关法律法规及制度文件执行，本县此前出台的相关农资监管规定与本细则不一致的，以本细则为准。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第十八条 解释与施行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本细则由连城县农业农村局负责解释，自印发之日起试行，根据上级政策调整及县乡监管工作实际适时修订完善。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2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sz w:val="32"/>
          <w:szCs w:val="32"/>
        </w:rPr>
      </w:pPr>
      <w:r>
        <w:rPr>
          <w:rFonts w:hint="default" w:ascii="楷体" w:hAnsi="楷体" w:eastAsia="楷体" w:cs="楷体"/>
          <w:b/>
          <w:bCs/>
          <w:color w:val="1F2329"/>
          <w:sz w:val="32"/>
          <w:szCs w:val="32"/>
        </w:rPr>
        <w:t>第十九条 有效期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本细则试行有效期5年。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 xml:space="preserve">连城县农业农村局      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right"/>
        <w:textAlignment w:val="auto"/>
        <w:rPr>
          <w:rFonts w:hint="default"/>
          <w:color w:val="1F2329"/>
          <w:sz w:val="24"/>
          <w:szCs w:val="24"/>
          <w:lang w:val="en-US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2026 年</w:t>
      </w:r>
      <w:r>
        <w:rPr>
          <w:rFonts w:hint="eastAsia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9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10</w:t>
      </w:r>
      <w:r>
        <w:rPr>
          <w:rFonts w:hint="default" w:ascii="Times New Roman" w:hAnsi="Times New Roman" w:eastAsia="仿宋_GB2312" w:cs="Times New Roman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日</w:t>
      </w: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 xml:space="preserve">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20" w:firstLineChars="200"/>
        <w:textAlignment w:val="auto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4668E4"/>
    <w:rsid w:val="084668E4"/>
    <w:rsid w:val="426633DC"/>
    <w:rsid w:val="6C5F3259"/>
    <w:rsid w:val="75834F63"/>
    <w:rsid w:val="7F52A44C"/>
    <w:rsid w:val="7F9FAC01"/>
    <w:rsid w:val="FEFBD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16d53b51-af36-40a5-ba5d-6c47099e48b8</errorID>
      <errorWord xmlns="http://schemas.wps.cn/vas-ai-hub/contract-review">：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：作</item>
      </candidateList>
      <explain xmlns="http://schemas.wps.cn/vas-ai-hub/contract-review"/>
      <paraID xmlns="http://schemas.wps.cn/vas-ai-hub/contract-review">2015DE32</paraID>
      <start xmlns="http://schemas.wps.cn/vas-ai-hub/contract-review">8</start>
      <end xmlns="http://schemas.wps.cn/vas-ai-hub/contract-review">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41ae61ee-b28e-457f-a603-e8cee818ddb4</errorID>
      <errorWord xmlns="http://schemas.wps.cn/vas-ai-hub/contract-review">主体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主题</item>
      </candidateList>
      <explain xmlns="http://schemas.wps.cn/vas-ai-hub/contract-review"/>
      <paraID xmlns="http://schemas.wps.cn/vas-ai-hub/contract-review">2015DE32</paraID>
      <start xmlns="http://schemas.wps.cn/vas-ai-hub/contract-review">131</start>
      <end xmlns="http://schemas.wps.cn/vas-ai-hub/contract-review">133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70ade382-58b2-4d93-8b38-8e8a41876c7f</errorID>
      <errorWord xmlns="http://schemas.wps.cn/vas-ai-hub/contract-review">爆发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暴发</item>
      </candidateList>
      <explain xmlns="http://schemas.wps.cn/vas-ai-hub/contract-review"/>
      <paraID xmlns="http://schemas.wps.cn/vas-ai-hub/contract-review">20B4C543</paraID>
      <start xmlns="http://schemas.wps.cn/vas-ai-hub/contract-review">34</start>
      <end xmlns="http://schemas.wps.cn/vas-ai-hub/contract-review">36</end>
      <status xmlns="http://schemas.wps.cn/vas-ai-hub/contract-review">modified</status>
      <modifiedWord xmlns="http://schemas.wps.cn/vas-ai-hub/contract-review">暴发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7825515d-7fb1-42fb-8e67-3000758950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2026-09-03T08:18:00Z</dcterms:created>
  <dc:creator>WPS_1643770499</dc:creator>
  <cp:lastModifiedBy>。</cp:lastModifiedBy>
  <dcterms:modified xsi:type="dcterms:W3CDTF">2026-09-09T15:03:56Z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C93303A25E124A84B69A90BC35C63B7B_11</vt:lpwstr>
  </property>
  <property fmtid="{D5CDD505-2E9C-101B-9397-08002B2CF9AE}" pid="4" name="KSOTemplateDocerSaveRecord">
    <vt:lpwstr>eyJoZGlkIjoiMzEwNTM5NzYwMDRjMzkwZTVkZjY2ODkwMGIxNGU0OTUiLCJ1c2VySWQiOiIxMzIxNjc1NDM5In0=</vt:lpwstr>
  </property>
</Properties>
</file>