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718300">
      <w:pPr>
        <w:kinsoku/>
        <w:autoSpaceDE/>
        <w:autoSpaceDN/>
        <w:spacing w:line="600" w:lineRule="exact"/>
        <w:jc w:val="both"/>
        <w:textAlignment w:val="auto"/>
        <w:rPr>
          <w:rFonts w:ascii="Times New Roman" w:hAnsi="Times New Roman" w:eastAsia="黑体" w:cs="Times New Roman"/>
          <w:bCs/>
          <w:color w:val="auto"/>
          <w:kern w:val="2"/>
          <w:sz w:val="32"/>
          <w:szCs w:val="32"/>
          <w:lang w:eastAsia="zh-CN"/>
        </w:rPr>
      </w:pPr>
      <w:r>
        <w:rPr>
          <w:rFonts w:hint="eastAsia" w:ascii="Times New Roman" w:hAnsi="黑体" w:eastAsia="黑体" w:cs="Times New Roman"/>
          <w:bCs/>
          <w:color w:val="auto"/>
          <w:kern w:val="2"/>
          <w:sz w:val="32"/>
          <w:szCs w:val="32"/>
        </w:rPr>
        <w:t>附件</w:t>
      </w:r>
      <w:r>
        <w:rPr>
          <w:rFonts w:ascii="Times New Roman" w:hAnsi="Times New Roman" w:eastAsia="黑体" w:cs="Times New Roman"/>
          <w:bCs/>
          <w:color w:val="auto"/>
          <w:kern w:val="2"/>
          <w:sz w:val="32"/>
          <w:szCs w:val="32"/>
        </w:rPr>
        <w:t>1</w:t>
      </w:r>
    </w:p>
    <w:p w14:paraId="517859A0">
      <w:pPr>
        <w:kinsoku/>
        <w:autoSpaceDE/>
        <w:autoSpaceDN/>
        <w:spacing w:line="600" w:lineRule="exact"/>
        <w:jc w:val="center"/>
        <w:textAlignment w:val="auto"/>
        <w:rPr>
          <w:rFonts w:ascii="Times New Roman" w:hAnsi="Times New Roman" w:eastAsia="黑体" w:cs="Times New Roman"/>
          <w:bCs/>
          <w:color w:val="auto"/>
          <w:kern w:val="2"/>
          <w:sz w:val="32"/>
          <w:szCs w:val="32"/>
        </w:rPr>
      </w:pPr>
      <w:r>
        <w:rPr>
          <w:rFonts w:hint="eastAsia" w:ascii="Times New Roman" w:hAnsi="Times New Roman" w:eastAsia="方正小标宋简体" w:cs="Times New Roman"/>
          <w:bCs/>
          <w:color w:val="auto"/>
          <w:sz w:val="44"/>
          <w:szCs w:val="44"/>
          <w:lang w:eastAsia="zh-CN"/>
        </w:rPr>
        <w:t>四堡镇田茶村</w:t>
      </w:r>
      <w:r>
        <w:rPr>
          <w:rFonts w:hint="eastAsia" w:ascii="Times New Roman" w:hAnsi="Times New Roman" w:eastAsia="方正小标宋简体" w:cs="Times New Roman"/>
          <w:bCs/>
          <w:color w:val="auto"/>
          <w:sz w:val="44"/>
          <w:szCs w:val="44"/>
        </w:rPr>
        <w:t>传统村落保护发展工作任务清单</w:t>
      </w:r>
    </w:p>
    <w:p w14:paraId="6A427018">
      <w:pPr>
        <w:kinsoku/>
        <w:autoSpaceDE/>
        <w:autoSpaceDN/>
        <w:spacing w:before="34"/>
        <w:jc w:val="both"/>
        <w:textAlignment w:val="auto"/>
        <w:rPr>
          <w:rFonts w:ascii="Times New Roman" w:hAnsi="Times New Roman" w:cs="Times New Roman"/>
          <w:color w:val="auto"/>
        </w:rPr>
      </w:pPr>
    </w:p>
    <w:tbl>
      <w:tblPr>
        <w:tblStyle w:val="4"/>
        <w:tblW w:w="1409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6"/>
        <w:gridCol w:w="1488"/>
        <w:gridCol w:w="2700"/>
        <w:gridCol w:w="3178"/>
        <w:gridCol w:w="2989"/>
        <w:gridCol w:w="3136"/>
      </w:tblGrid>
      <w:tr w14:paraId="3A53A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blHeader/>
          <w:jc w:val="center"/>
        </w:trPr>
        <w:tc>
          <w:tcPr>
            <w:tcW w:w="606" w:type="dxa"/>
            <w:vAlign w:val="center"/>
          </w:tcPr>
          <w:p w14:paraId="78DD5E30">
            <w:pPr>
              <w:pStyle w:val="7"/>
              <w:widowControl w:val="0"/>
              <w:kinsoku/>
              <w:autoSpaceDE/>
              <w:autoSpaceDN/>
              <w:ind w:left="75"/>
              <w:jc w:val="center"/>
              <w:textAlignment w:val="auto"/>
              <w:rPr>
                <w:rFonts w:ascii="Times New Roman" w:hAnsi="Times New Roman" w:cs="Times New Roman"/>
                <w:color w:val="auto"/>
              </w:rPr>
            </w:pPr>
            <w:r>
              <w:rPr>
                <w:rFonts w:hint="eastAsia" w:ascii="Times New Roman" w:hAnsi="Times New Roman" w:cs="Times New Roman"/>
                <w:color w:val="auto"/>
              </w:rPr>
              <w:t>序号</w:t>
            </w:r>
          </w:p>
        </w:tc>
        <w:tc>
          <w:tcPr>
            <w:tcW w:w="1488" w:type="dxa"/>
            <w:vAlign w:val="center"/>
          </w:tcPr>
          <w:p w14:paraId="6B292F65">
            <w:pPr>
              <w:pStyle w:val="7"/>
              <w:widowControl w:val="0"/>
              <w:kinsoku/>
              <w:autoSpaceDE/>
              <w:autoSpaceDN/>
              <w:jc w:val="center"/>
              <w:textAlignment w:val="auto"/>
              <w:rPr>
                <w:rFonts w:ascii="Times New Roman" w:hAnsi="Times New Roman" w:cs="Times New Roman"/>
                <w:color w:val="auto"/>
              </w:rPr>
            </w:pPr>
            <w:r>
              <w:rPr>
                <w:rFonts w:hint="eastAsia" w:ascii="Times New Roman" w:hAnsi="Times New Roman" w:cs="Times New Roman"/>
                <w:color w:val="auto"/>
              </w:rPr>
              <w:t>项目</w:t>
            </w:r>
          </w:p>
        </w:tc>
        <w:tc>
          <w:tcPr>
            <w:tcW w:w="2700" w:type="dxa"/>
            <w:vAlign w:val="center"/>
          </w:tcPr>
          <w:p w14:paraId="62037124">
            <w:pPr>
              <w:pStyle w:val="7"/>
              <w:widowControl w:val="0"/>
              <w:kinsoku/>
              <w:autoSpaceDE/>
              <w:autoSpaceDN/>
              <w:jc w:val="center"/>
              <w:textAlignment w:val="auto"/>
              <w:rPr>
                <w:rFonts w:ascii="Times New Roman" w:hAnsi="Times New Roman" w:cs="Times New Roman"/>
                <w:color w:val="auto"/>
              </w:rPr>
            </w:pPr>
            <w:r>
              <w:rPr>
                <w:rFonts w:hint="eastAsia" w:ascii="Times New Roman" w:hAnsi="Times New Roman" w:cs="Times New Roman"/>
                <w:color w:val="auto"/>
              </w:rPr>
              <w:t>工作要点</w:t>
            </w:r>
          </w:p>
        </w:tc>
        <w:tc>
          <w:tcPr>
            <w:tcW w:w="3178" w:type="dxa"/>
            <w:vAlign w:val="center"/>
          </w:tcPr>
          <w:p w14:paraId="65B1B80F">
            <w:pPr>
              <w:pStyle w:val="7"/>
              <w:widowControl w:val="0"/>
              <w:kinsoku/>
              <w:autoSpaceDE/>
              <w:autoSpaceDN/>
              <w:jc w:val="center"/>
              <w:textAlignment w:val="auto"/>
              <w:rPr>
                <w:rFonts w:ascii="Times New Roman" w:hAnsi="Times New Roman" w:cs="Times New Roman"/>
                <w:color w:val="auto"/>
              </w:rPr>
            </w:pPr>
            <w:r>
              <w:rPr>
                <w:rFonts w:hint="eastAsia" w:ascii="Times New Roman" w:hAnsi="Times New Roman" w:cs="Times New Roman"/>
                <w:color w:val="auto"/>
              </w:rPr>
              <w:t>第一年</w:t>
            </w:r>
          </w:p>
        </w:tc>
        <w:tc>
          <w:tcPr>
            <w:tcW w:w="2989" w:type="dxa"/>
            <w:vAlign w:val="center"/>
          </w:tcPr>
          <w:p w14:paraId="6D1581FA">
            <w:pPr>
              <w:pStyle w:val="7"/>
              <w:widowControl w:val="0"/>
              <w:kinsoku/>
              <w:autoSpaceDE/>
              <w:autoSpaceDN/>
              <w:jc w:val="center"/>
              <w:textAlignment w:val="auto"/>
              <w:rPr>
                <w:rFonts w:ascii="Times New Roman" w:hAnsi="Times New Roman" w:cs="Times New Roman"/>
                <w:color w:val="auto"/>
              </w:rPr>
            </w:pPr>
            <w:r>
              <w:rPr>
                <w:rFonts w:hint="eastAsia" w:ascii="Times New Roman" w:hAnsi="Times New Roman" w:cs="Times New Roman"/>
                <w:color w:val="auto"/>
              </w:rPr>
              <w:t>第二年</w:t>
            </w:r>
          </w:p>
        </w:tc>
        <w:tc>
          <w:tcPr>
            <w:tcW w:w="3136" w:type="dxa"/>
            <w:vAlign w:val="center"/>
          </w:tcPr>
          <w:p w14:paraId="22D4D5BB">
            <w:pPr>
              <w:pStyle w:val="7"/>
              <w:widowControl w:val="0"/>
              <w:kinsoku/>
              <w:autoSpaceDE/>
              <w:autoSpaceDN/>
              <w:jc w:val="center"/>
              <w:textAlignment w:val="auto"/>
              <w:rPr>
                <w:rFonts w:ascii="Times New Roman" w:hAnsi="Times New Roman" w:cs="Times New Roman"/>
                <w:color w:val="auto"/>
              </w:rPr>
            </w:pPr>
            <w:r>
              <w:rPr>
                <w:rFonts w:hint="eastAsia" w:ascii="Times New Roman" w:hAnsi="Times New Roman" w:cs="Times New Roman"/>
                <w:color w:val="auto"/>
              </w:rPr>
              <w:t>第三年</w:t>
            </w:r>
          </w:p>
        </w:tc>
      </w:tr>
      <w:tr w14:paraId="1FB43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0" w:hRule="atLeast"/>
          <w:jc w:val="center"/>
        </w:trPr>
        <w:tc>
          <w:tcPr>
            <w:tcW w:w="606" w:type="dxa"/>
            <w:vMerge w:val="restart"/>
            <w:tcBorders>
              <w:bottom w:val="nil"/>
            </w:tcBorders>
            <w:vAlign w:val="center"/>
          </w:tcPr>
          <w:p w14:paraId="49DBAE8F">
            <w:pPr>
              <w:pStyle w:val="7"/>
              <w:widowControl w:val="0"/>
              <w:kinsoku/>
              <w:autoSpaceDE/>
              <w:autoSpaceDN/>
              <w:ind w:left="185"/>
              <w:jc w:val="both"/>
              <w:textAlignment w:val="auto"/>
              <w:rPr>
                <w:rFonts w:ascii="Times New Roman" w:hAnsi="Times New Roman" w:cs="Times New Roman"/>
                <w:color w:val="auto"/>
                <w:sz w:val="15"/>
                <w:szCs w:val="15"/>
              </w:rPr>
            </w:pPr>
            <w:r>
              <w:rPr>
                <w:rFonts w:hint="eastAsia" w:ascii="Times New Roman" w:hAnsi="Times New Roman" w:cs="Times New Roman"/>
                <w:color w:val="auto"/>
                <w:sz w:val="15"/>
                <w:szCs w:val="15"/>
              </w:rPr>
              <w:t>一</w:t>
            </w:r>
          </w:p>
        </w:tc>
        <w:tc>
          <w:tcPr>
            <w:tcW w:w="1488" w:type="dxa"/>
            <w:vMerge w:val="restart"/>
            <w:tcBorders>
              <w:bottom w:val="nil"/>
            </w:tcBorders>
            <w:vAlign w:val="center"/>
          </w:tcPr>
          <w:p w14:paraId="67913209">
            <w:pPr>
              <w:pStyle w:val="7"/>
              <w:widowControl w:val="0"/>
              <w:kinsoku/>
              <w:autoSpaceDE/>
              <w:autoSpaceDN/>
              <w:ind w:right="273"/>
              <w:jc w:val="both"/>
              <w:textAlignment w:val="auto"/>
              <w:rPr>
                <w:rFonts w:ascii="Times New Roman" w:hAnsi="Times New Roman" w:cs="Times New Roman"/>
                <w:color w:val="auto"/>
              </w:rPr>
            </w:pPr>
            <w:r>
              <w:rPr>
                <w:rFonts w:hint="eastAsia" w:ascii="Times New Roman" w:hAnsi="Times New Roman" w:cs="Times New Roman"/>
                <w:color w:val="auto"/>
              </w:rPr>
              <w:t>保护规划和项</w:t>
            </w:r>
            <w:bookmarkStart w:id="0" w:name="_GoBack"/>
            <w:bookmarkEnd w:id="0"/>
            <w:r>
              <w:rPr>
                <w:rFonts w:hint="eastAsia" w:ascii="Times New Roman" w:hAnsi="Times New Roman" w:cs="Times New Roman"/>
                <w:color w:val="auto"/>
              </w:rPr>
              <w:t>目设计</w:t>
            </w:r>
          </w:p>
        </w:tc>
        <w:tc>
          <w:tcPr>
            <w:tcW w:w="2700" w:type="dxa"/>
            <w:vAlign w:val="center"/>
          </w:tcPr>
          <w:p w14:paraId="679C7654">
            <w:pPr>
              <w:pStyle w:val="7"/>
              <w:widowControl w:val="0"/>
              <w:kinsoku/>
              <w:autoSpaceDE/>
              <w:autoSpaceDN/>
              <w:ind w:left="11" w:firstLine="79"/>
              <w:jc w:val="both"/>
              <w:textAlignment w:val="auto"/>
              <w:rPr>
                <w:rFonts w:ascii="Times New Roman" w:hAnsi="Times New Roman" w:cs="Times New Roman"/>
                <w:color w:val="auto"/>
              </w:rPr>
            </w:pPr>
            <w:r>
              <w:rPr>
                <w:rFonts w:hint="eastAsia" w:ascii="Times New Roman" w:hAnsi="Times New Roman" w:cs="Times New Roman"/>
                <w:color w:val="auto"/>
              </w:rPr>
              <w:t>完成</w:t>
            </w:r>
            <w:r>
              <w:rPr>
                <w:rFonts w:hint="eastAsia" w:ascii="Times New Roman" w:hAnsi="Times New Roman" w:cs="Times New Roman"/>
                <w:color w:val="auto"/>
                <w:lang w:eastAsia="zh-CN"/>
              </w:rPr>
              <w:t>田茶村</w:t>
            </w:r>
            <w:r>
              <w:rPr>
                <w:rFonts w:hint="eastAsia" w:ascii="Times New Roman" w:hAnsi="Times New Roman" w:cs="Times New Roman"/>
                <w:color w:val="auto"/>
              </w:rPr>
              <w:t>传统村落保护规划编制、审查、报批工作，推进保护规划具体实施。</w:t>
            </w:r>
          </w:p>
        </w:tc>
        <w:tc>
          <w:tcPr>
            <w:tcW w:w="3178" w:type="dxa"/>
            <w:vAlign w:val="center"/>
          </w:tcPr>
          <w:p w14:paraId="7C8250CC">
            <w:pPr>
              <w:pStyle w:val="7"/>
              <w:widowControl w:val="0"/>
              <w:kinsoku/>
              <w:autoSpaceDE/>
              <w:autoSpaceDN/>
              <w:ind w:left="13" w:right="120"/>
              <w:jc w:val="both"/>
              <w:textAlignment w:val="auto"/>
              <w:rPr>
                <w:rFonts w:ascii="Times New Roman" w:hAnsi="Times New Roman" w:cs="Times New Roman"/>
                <w:color w:val="auto"/>
              </w:rPr>
            </w:pPr>
            <w:r>
              <w:rPr>
                <w:rFonts w:hint="eastAsia" w:ascii="Times New Roman" w:hAnsi="Times New Roman" w:cs="Times New Roman"/>
                <w:color w:val="auto"/>
              </w:rPr>
              <w:t>完成</w:t>
            </w:r>
            <w:r>
              <w:rPr>
                <w:rFonts w:hint="eastAsia" w:ascii="Times New Roman" w:hAnsi="Times New Roman" w:cs="Times New Roman"/>
                <w:color w:val="auto"/>
                <w:lang w:eastAsia="zh-CN"/>
              </w:rPr>
              <w:t>田茶村</w:t>
            </w:r>
            <w:r>
              <w:rPr>
                <w:rFonts w:hint="eastAsia" w:ascii="Times New Roman" w:hAnsi="Times New Roman" w:cs="Times New Roman"/>
                <w:color w:val="auto"/>
              </w:rPr>
              <w:t>传统村落保护规划编制、技术方案审查。</w:t>
            </w:r>
          </w:p>
        </w:tc>
        <w:tc>
          <w:tcPr>
            <w:tcW w:w="2989" w:type="dxa"/>
            <w:vAlign w:val="center"/>
          </w:tcPr>
          <w:p w14:paraId="3A01A084">
            <w:pPr>
              <w:pStyle w:val="7"/>
              <w:widowControl w:val="0"/>
              <w:kinsoku/>
              <w:autoSpaceDE/>
              <w:autoSpaceDN/>
              <w:jc w:val="both"/>
              <w:textAlignment w:val="auto"/>
              <w:rPr>
                <w:rFonts w:ascii="Times New Roman" w:hAnsi="Times New Roman" w:cs="Times New Roman"/>
                <w:color w:val="auto"/>
              </w:rPr>
            </w:pPr>
            <w:r>
              <w:rPr>
                <w:rFonts w:hint="eastAsia" w:ascii="Times New Roman" w:hAnsi="Times New Roman" w:cs="Times New Roman"/>
                <w:color w:val="auto"/>
              </w:rPr>
              <w:t>完成保护规划报批公开、宣传贯彻传统村落保护提升工作，推进保护规划有序实施。</w:t>
            </w:r>
          </w:p>
        </w:tc>
        <w:tc>
          <w:tcPr>
            <w:tcW w:w="3136" w:type="dxa"/>
            <w:vAlign w:val="center"/>
          </w:tcPr>
          <w:p w14:paraId="61C02A5E">
            <w:pPr>
              <w:pStyle w:val="7"/>
              <w:widowControl w:val="0"/>
              <w:kinsoku/>
              <w:autoSpaceDE/>
              <w:autoSpaceDN/>
              <w:ind w:left="17" w:right="170"/>
              <w:jc w:val="both"/>
              <w:textAlignment w:val="auto"/>
              <w:rPr>
                <w:rFonts w:ascii="Times New Roman" w:hAnsi="Times New Roman" w:cs="Times New Roman"/>
                <w:color w:val="auto"/>
              </w:rPr>
            </w:pPr>
            <w:r>
              <w:rPr>
                <w:rFonts w:hint="eastAsia" w:ascii="Times New Roman" w:hAnsi="Times New Roman" w:cs="Times New Roman"/>
                <w:color w:val="auto"/>
              </w:rPr>
              <w:t>进行保护规划评估工作，依法、有序、有效开展传统村落保护工作。</w:t>
            </w:r>
          </w:p>
        </w:tc>
      </w:tr>
      <w:tr w14:paraId="3A978D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4" w:hRule="atLeast"/>
          <w:jc w:val="center"/>
        </w:trPr>
        <w:tc>
          <w:tcPr>
            <w:tcW w:w="606" w:type="dxa"/>
            <w:vMerge w:val="continue"/>
            <w:tcBorders>
              <w:top w:val="nil"/>
            </w:tcBorders>
            <w:vAlign w:val="center"/>
          </w:tcPr>
          <w:p w14:paraId="41A9B820">
            <w:pPr>
              <w:widowControl w:val="0"/>
              <w:kinsoku/>
              <w:autoSpaceDE/>
              <w:autoSpaceDN/>
              <w:jc w:val="both"/>
              <w:textAlignment w:val="auto"/>
              <w:rPr>
                <w:rFonts w:ascii="Times New Roman" w:hAnsi="Times New Roman" w:cs="Times New Roman"/>
                <w:color w:val="auto"/>
              </w:rPr>
            </w:pPr>
          </w:p>
        </w:tc>
        <w:tc>
          <w:tcPr>
            <w:tcW w:w="1488" w:type="dxa"/>
            <w:vMerge w:val="continue"/>
            <w:tcBorders>
              <w:top w:val="nil"/>
            </w:tcBorders>
            <w:vAlign w:val="center"/>
          </w:tcPr>
          <w:p w14:paraId="7F350D8C">
            <w:pPr>
              <w:widowControl w:val="0"/>
              <w:kinsoku/>
              <w:autoSpaceDE/>
              <w:autoSpaceDN/>
              <w:jc w:val="both"/>
              <w:textAlignment w:val="auto"/>
              <w:rPr>
                <w:rFonts w:ascii="Times New Roman" w:hAnsi="Times New Roman" w:cs="Times New Roman"/>
                <w:color w:val="auto"/>
              </w:rPr>
            </w:pPr>
          </w:p>
        </w:tc>
        <w:tc>
          <w:tcPr>
            <w:tcW w:w="2700" w:type="dxa"/>
            <w:vAlign w:val="center"/>
          </w:tcPr>
          <w:p w14:paraId="1A25DB2C">
            <w:pPr>
              <w:pStyle w:val="7"/>
              <w:widowControl w:val="0"/>
              <w:kinsoku/>
              <w:autoSpaceDE/>
              <w:autoSpaceDN/>
              <w:ind w:left="11" w:right="85"/>
              <w:jc w:val="both"/>
              <w:textAlignment w:val="auto"/>
              <w:rPr>
                <w:rFonts w:ascii="Times New Roman" w:hAnsi="Times New Roman" w:cs="Times New Roman"/>
                <w:color w:val="auto"/>
              </w:rPr>
            </w:pPr>
            <w:r>
              <w:rPr>
                <w:rFonts w:hint="eastAsia" w:ascii="Times New Roman" w:hAnsi="Times New Roman" w:cs="Times New Roman"/>
                <w:color w:val="auto"/>
              </w:rPr>
              <w:t>编制年度实施保护利用项目详细设计，指导项目实施、建成的全周期覆盖。</w:t>
            </w:r>
          </w:p>
        </w:tc>
        <w:tc>
          <w:tcPr>
            <w:tcW w:w="3178" w:type="dxa"/>
            <w:vAlign w:val="center"/>
          </w:tcPr>
          <w:p w14:paraId="14FCC32C">
            <w:pPr>
              <w:pStyle w:val="7"/>
              <w:widowControl w:val="0"/>
              <w:kinsoku/>
              <w:autoSpaceDE/>
              <w:autoSpaceDN/>
              <w:ind w:left="13"/>
              <w:jc w:val="both"/>
              <w:textAlignment w:val="auto"/>
              <w:rPr>
                <w:rFonts w:ascii="Times New Roman" w:hAnsi="Times New Roman" w:cs="Times New Roman"/>
                <w:color w:val="auto"/>
              </w:rPr>
            </w:pPr>
            <w:r>
              <w:rPr>
                <w:rFonts w:hint="eastAsia" w:ascii="Times New Roman" w:hAnsi="Times New Roman" w:cs="Times New Roman"/>
                <w:color w:val="auto"/>
              </w:rPr>
              <w:t>落实保护规划要求，完成当年实施保护利用项目详细设计，指导项目实施。</w:t>
            </w:r>
          </w:p>
        </w:tc>
        <w:tc>
          <w:tcPr>
            <w:tcW w:w="2989" w:type="dxa"/>
            <w:vAlign w:val="center"/>
          </w:tcPr>
          <w:p w14:paraId="35F5BC50">
            <w:pPr>
              <w:pStyle w:val="7"/>
              <w:widowControl w:val="0"/>
              <w:kinsoku/>
              <w:autoSpaceDE/>
              <w:autoSpaceDN/>
              <w:jc w:val="both"/>
              <w:textAlignment w:val="auto"/>
              <w:rPr>
                <w:rFonts w:ascii="Times New Roman" w:hAnsi="Times New Roman" w:cs="Times New Roman"/>
                <w:color w:val="auto"/>
              </w:rPr>
            </w:pPr>
            <w:r>
              <w:rPr>
                <w:rFonts w:hint="eastAsia" w:ascii="Times New Roman" w:hAnsi="Times New Roman" w:cs="Times New Roman"/>
                <w:color w:val="auto"/>
              </w:rPr>
              <w:t>落实保护规划要求，完成当年新增实施保护利用项目详细设计，指导项目实施；建立修缮资料、图纸存档制度</w:t>
            </w:r>
            <w:r>
              <w:rPr>
                <w:rFonts w:ascii="Times New Roman" w:hAnsi="Times New Roman" w:cs="Times New Roman"/>
                <w:color w:val="auto"/>
              </w:rPr>
              <w:t>.</w:t>
            </w:r>
          </w:p>
        </w:tc>
        <w:tc>
          <w:tcPr>
            <w:tcW w:w="3136" w:type="dxa"/>
            <w:vAlign w:val="center"/>
          </w:tcPr>
          <w:p w14:paraId="2A7C72B9">
            <w:pPr>
              <w:pStyle w:val="7"/>
              <w:widowControl w:val="0"/>
              <w:kinsoku/>
              <w:autoSpaceDE/>
              <w:autoSpaceDN/>
              <w:ind w:left="17" w:right="142"/>
              <w:jc w:val="both"/>
              <w:textAlignment w:val="auto"/>
              <w:rPr>
                <w:rFonts w:ascii="Times New Roman" w:hAnsi="Times New Roman" w:cs="Times New Roman"/>
                <w:color w:val="auto"/>
              </w:rPr>
            </w:pPr>
            <w:r>
              <w:rPr>
                <w:rFonts w:hint="eastAsia" w:ascii="Times New Roman" w:hAnsi="Times New Roman" w:cs="Times New Roman"/>
                <w:color w:val="auto"/>
              </w:rPr>
              <w:t>落实保护规划要求，完成当年新增实施保护利用项目详细设计，指导项目实施；建立修缮资料、图纸存档制度。</w:t>
            </w:r>
          </w:p>
        </w:tc>
      </w:tr>
      <w:tr w14:paraId="04677A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8" w:hRule="atLeast"/>
          <w:jc w:val="center"/>
        </w:trPr>
        <w:tc>
          <w:tcPr>
            <w:tcW w:w="606" w:type="dxa"/>
            <w:vAlign w:val="center"/>
          </w:tcPr>
          <w:p w14:paraId="10CC7438">
            <w:pPr>
              <w:pStyle w:val="7"/>
              <w:widowControl w:val="0"/>
              <w:kinsoku/>
              <w:autoSpaceDE/>
              <w:autoSpaceDN/>
              <w:ind w:left="165"/>
              <w:jc w:val="both"/>
              <w:textAlignment w:val="auto"/>
              <w:rPr>
                <w:rFonts w:ascii="Times New Roman" w:hAnsi="Times New Roman" w:cs="Times New Roman"/>
                <w:color w:val="auto"/>
              </w:rPr>
            </w:pPr>
            <w:r>
              <w:rPr>
                <w:rFonts w:hint="eastAsia" w:ascii="Times New Roman" w:hAnsi="Times New Roman" w:cs="Times New Roman"/>
                <w:color w:val="auto"/>
              </w:rPr>
              <w:t>二</w:t>
            </w:r>
          </w:p>
        </w:tc>
        <w:tc>
          <w:tcPr>
            <w:tcW w:w="1488" w:type="dxa"/>
            <w:vAlign w:val="center"/>
          </w:tcPr>
          <w:p w14:paraId="307E9503">
            <w:pPr>
              <w:pStyle w:val="7"/>
              <w:widowControl w:val="0"/>
              <w:kinsoku/>
              <w:autoSpaceDE/>
              <w:autoSpaceDN/>
              <w:ind w:right="273"/>
              <w:jc w:val="both"/>
              <w:textAlignment w:val="auto"/>
              <w:rPr>
                <w:rFonts w:ascii="Times New Roman" w:hAnsi="Times New Roman" w:cs="Times New Roman"/>
                <w:color w:val="auto"/>
              </w:rPr>
            </w:pPr>
            <w:r>
              <w:rPr>
                <w:rFonts w:hint="eastAsia" w:ascii="Times New Roman" w:hAnsi="Times New Roman" w:cs="Times New Roman"/>
                <w:color w:val="auto"/>
              </w:rPr>
              <w:t>传统格局和历史风貌</w:t>
            </w:r>
          </w:p>
        </w:tc>
        <w:tc>
          <w:tcPr>
            <w:tcW w:w="2700" w:type="dxa"/>
            <w:vAlign w:val="center"/>
          </w:tcPr>
          <w:p w14:paraId="1C65CC99">
            <w:pPr>
              <w:pStyle w:val="7"/>
              <w:widowControl w:val="0"/>
              <w:kinsoku/>
              <w:autoSpaceDE/>
              <w:autoSpaceDN/>
              <w:ind w:left="11" w:firstLine="79"/>
              <w:jc w:val="both"/>
              <w:textAlignment w:val="auto"/>
              <w:rPr>
                <w:rFonts w:ascii="Times New Roman" w:hAnsi="Times New Roman" w:cs="Times New Roman"/>
                <w:color w:val="auto"/>
              </w:rPr>
            </w:pPr>
            <w:r>
              <w:rPr>
                <w:rFonts w:hint="eastAsia" w:ascii="Times New Roman" w:hAnsi="Times New Roman" w:cs="Times New Roman"/>
                <w:color w:val="auto"/>
              </w:rPr>
              <w:t>保护和延续传统村落格局和历史风貌，严格保护村落的自然山水环境及丰富的历史文化遗产。</w:t>
            </w:r>
          </w:p>
        </w:tc>
        <w:tc>
          <w:tcPr>
            <w:tcW w:w="3178" w:type="dxa"/>
            <w:vAlign w:val="center"/>
          </w:tcPr>
          <w:p w14:paraId="4C3E8571">
            <w:pPr>
              <w:pStyle w:val="7"/>
              <w:widowControl w:val="0"/>
              <w:kinsoku/>
              <w:autoSpaceDE/>
              <w:autoSpaceDN/>
              <w:jc w:val="both"/>
              <w:textAlignment w:val="auto"/>
              <w:rPr>
                <w:rFonts w:ascii="Times New Roman" w:hAnsi="Times New Roman" w:cs="Times New Roman"/>
                <w:color w:val="auto"/>
              </w:rPr>
            </w:pPr>
            <w:r>
              <w:rPr>
                <w:rFonts w:hint="eastAsia" w:ascii="Times New Roman" w:hAnsi="Times New Roman" w:cs="Times New Roman"/>
                <w:color w:val="auto"/>
              </w:rPr>
              <w:t>落实《福建省历史文化名镇名村和传统村落保护条例》、《福建省传统风貌建筑保护条例》</w:t>
            </w:r>
            <w:r>
              <w:rPr>
                <w:rFonts w:ascii="Times New Roman" w:hAnsi="Times New Roman" w:cs="Times New Roman"/>
                <w:color w:val="auto"/>
              </w:rPr>
              <w:t>(2021)</w:t>
            </w:r>
            <w:r>
              <w:rPr>
                <w:rFonts w:hint="eastAsia" w:ascii="Times New Roman" w:hAnsi="Times New Roman" w:cs="Times New Roman"/>
                <w:color w:val="auto"/>
              </w:rPr>
              <w:t>等要求，对传统村落核心保护范围及建设控制地带内的建设行为进行严管严控；对核心保护范围内的既有风貌问题进行整治。</w:t>
            </w:r>
          </w:p>
        </w:tc>
        <w:tc>
          <w:tcPr>
            <w:tcW w:w="2989" w:type="dxa"/>
            <w:vAlign w:val="center"/>
          </w:tcPr>
          <w:p w14:paraId="1C8F2D48">
            <w:pPr>
              <w:pStyle w:val="7"/>
              <w:widowControl w:val="0"/>
              <w:kinsoku/>
              <w:autoSpaceDE/>
              <w:autoSpaceDN/>
              <w:ind w:right="181"/>
              <w:jc w:val="both"/>
              <w:textAlignment w:val="auto"/>
              <w:rPr>
                <w:rFonts w:ascii="Times New Roman" w:hAnsi="Times New Roman" w:cs="Times New Roman"/>
                <w:color w:val="auto"/>
              </w:rPr>
            </w:pPr>
            <w:r>
              <w:rPr>
                <w:rFonts w:hint="eastAsia" w:ascii="Times New Roman" w:hAnsi="Times New Roman" w:cs="Times New Roman"/>
                <w:color w:val="auto"/>
              </w:rPr>
              <w:t>持续推进传统村落核心保护范围及建设控制地带内既有的风貌问题整治工作。</w:t>
            </w:r>
          </w:p>
        </w:tc>
        <w:tc>
          <w:tcPr>
            <w:tcW w:w="3136" w:type="dxa"/>
            <w:vAlign w:val="center"/>
          </w:tcPr>
          <w:p w14:paraId="54D192B6">
            <w:pPr>
              <w:pStyle w:val="7"/>
              <w:widowControl w:val="0"/>
              <w:kinsoku/>
              <w:autoSpaceDE/>
              <w:autoSpaceDN/>
              <w:ind w:left="17" w:firstLine="9"/>
              <w:jc w:val="both"/>
              <w:textAlignment w:val="auto"/>
              <w:rPr>
                <w:rFonts w:ascii="Times New Roman" w:hAnsi="Times New Roman" w:cs="Times New Roman"/>
                <w:color w:val="auto"/>
              </w:rPr>
            </w:pPr>
            <w:r>
              <w:rPr>
                <w:rFonts w:hint="eastAsia" w:ascii="Times New Roman" w:hAnsi="Times New Roman" w:cs="Times New Roman"/>
                <w:color w:val="auto"/>
              </w:rPr>
              <w:t>全面整治传统村落核心保护范围及建设控制地带内既有的风貌问题；修复村落格局风貌和生态环境，形成风貌协调、自然生态的环境景观。</w:t>
            </w:r>
          </w:p>
        </w:tc>
      </w:tr>
      <w:tr w14:paraId="499D5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3" w:hRule="atLeast"/>
          <w:jc w:val="center"/>
        </w:trPr>
        <w:tc>
          <w:tcPr>
            <w:tcW w:w="606" w:type="dxa"/>
            <w:vMerge w:val="restart"/>
            <w:vAlign w:val="center"/>
          </w:tcPr>
          <w:p w14:paraId="46CF29BE">
            <w:pPr>
              <w:pStyle w:val="7"/>
              <w:widowControl w:val="0"/>
              <w:kinsoku/>
              <w:autoSpaceDE/>
              <w:autoSpaceDN/>
              <w:ind w:left="165"/>
              <w:jc w:val="both"/>
              <w:textAlignment w:val="auto"/>
              <w:rPr>
                <w:rFonts w:ascii="Times New Roman" w:hAnsi="Times New Roman" w:cs="Times New Roman"/>
                <w:color w:val="auto"/>
              </w:rPr>
            </w:pPr>
            <w:r>
              <w:rPr>
                <w:rFonts w:hint="eastAsia" w:ascii="Times New Roman" w:hAnsi="Times New Roman" w:cs="Times New Roman"/>
                <w:color w:val="auto"/>
              </w:rPr>
              <w:t>三</w:t>
            </w:r>
          </w:p>
        </w:tc>
        <w:tc>
          <w:tcPr>
            <w:tcW w:w="1488" w:type="dxa"/>
            <w:vMerge w:val="restart"/>
            <w:vAlign w:val="center"/>
          </w:tcPr>
          <w:p w14:paraId="60244D18">
            <w:pPr>
              <w:pStyle w:val="7"/>
              <w:widowControl w:val="0"/>
              <w:kinsoku/>
              <w:autoSpaceDE/>
              <w:autoSpaceDN/>
              <w:jc w:val="both"/>
              <w:textAlignment w:val="auto"/>
              <w:rPr>
                <w:rFonts w:ascii="Times New Roman" w:hAnsi="Times New Roman" w:cs="Times New Roman"/>
                <w:color w:val="auto"/>
              </w:rPr>
            </w:pPr>
            <w:r>
              <w:rPr>
                <w:rFonts w:hint="eastAsia" w:ascii="Times New Roman" w:hAnsi="Times New Roman" w:cs="Times New Roman"/>
                <w:color w:val="auto"/>
              </w:rPr>
              <w:t>历史建筑和传统风貌建筑测绘建档、保护图则编制、历史建筑保护修缮及活化利用</w:t>
            </w:r>
          </w:p>
        </w:tc>
        <w:tc>
          <w:tcPr>
            <w:tcW w:w="2700" w:type="dxa"/>
            <w:vAlign w:val="center"/>
          </w:tcPr>
          <w:p w14:paraId="0A707523">
            <w:pPr>
              <w:pStyle w:val="7"/>
              <w:widowControl w:val="0"/>
              <w:kinsoku/>
              <w:autoSpaceDE/>
              <w:autoSpaceDN/>
              <w:ind w:left="11"/>
              <w:jc w:val="both"/>
              <w:textAlignment w:val="auto"/>
              <w:rPr>
                <w:rFonts w:ascii="Times New Roman" w:hAnsi="Times New Roman" w:cs="Times New Roman"/>
                <w:color w:val="auto"/>
              </w:rPr>
            </w:pPr>
            <w:r>
              <w:rPr>
                <w:rFonts w:hint="eastAsia" w:ascii="Times New Roman" w:hAnsi="Times New Roman" w:cs="Times New Roman"/>
                <w:color w:val="auto"/>
              </w:rPr>
              <w:t>完成</w:t>
            </w:r>
            <w:r>
              <w:rPr>
                <w:rFonts w:hint="eastAsia" w:ascii="Times New Roman" w:hAnsi="Times New Roman" w:cs="Times New Roman"/>
                <w:color w:val="auto"/>
                <w:lang w:eastAsia="zh-CN"/>
              </w:rPr>
              <w:t>田茶村</w:t>
            </w:r>
            <w:r>
              <w:rPr>
                <w:rFonts w:ascii="Times New Roman" w:hAnsi="Times New Roman" w:cs="Times New Roman"/>
                <w:color w:val="auto"/>
              </w:rPr>
              <w:t>5</w:t>
            </w:r>
            <w:r>
              <w:rPr>
                <w:rFonts w:hint="eastAsia" w:ascii="Times New Roman" w:hAnsi="Times New Roman" w:cs="Times New Roman"/>
                <w:color w:val="auto"/>
              </w:rPr>
              <w:t>栋以上历史建筑测绘建档、保护图则编制工作</w:t>
            </w:r>
          </w:p>
        </w:tc>
        <w:tc>
          <w:tcPr>
            <w:tcW w:w="3178" w:type="dxa"/>
            <w:vAlign w:val="center"/>
          </w:tcPr>
          <w:p w14:paraId="369AA3EC">
            <w:pPr>
              <w:pStyle w:val="7"/>
              <w:widowControl w:val="0"/>
              <w:kinsoku/>
              <w:autoSpaceDE/>
              <w:autoSpaceDN/>
              <w:jc w:val="both"/>
              <w:textAlignment w:val="auto"/>
              <w:rPr>
                <w:rFonts w:ascii="Times New Roman" w:hAnsi="Times New Roman" w:cs="Times New Roman"/>
                <w:color w:val="auto"/>
              </w:rPr>
            </w:pPr>
            <w:r>
              <w:rPr>
                <w:rFonts w:hint="eastAsia" w:ascii="Times New Roman" w:hAnsi="Times New Roman" w:cs="Times New Roman"/>
                <w:color w:val="auto"/>
              </w:rPr>
              <w:t>完成</w:t>
            </w:r>
            <w:r>
              <w:rPr>
                <w:rFonts w:hint="eastAsia" w:ascii="Times New Roman" w:hAnsi="Times New Roman" w:cs="Times New Roman"/>
                <w:color w:val="auto"/>
                <w:lang w:eastAsia="zh-CN"/>
              </w:rPr>
              <w:t>田茶村</w:t>
            </w:r>
            <w:r>
              <w:rPr>
                <w:rFonts w:hint="eastAsia" w:ascii="Times New Roman" w:hAnsi="Times New Roman" w:cs="Times New Roman"/>
                <w:color w:val="auto"/>
              </w:rPr>
              <w:t>传统村落</w:t>
            </w:r>
            <w:r>
              <w:rPr>
                <w:rFonts w:ascii="Times New Roman" w:hAnsi="Times New Roman" w:cs="Times New Roman"/>
                <w:color w:val="auto"/>
              </w:rPr>
              <w:t>5</w:t>
            </w:r>
            <w:r>
              <w:rPr>
                <w:rFonts w:hint="eastAsia" w:ascii="Times New Roman" w:hAnsi="Times New Roman" w:cs="Times New Roman"/>
                <w:color w:val="auto"/>
              </w:rPr>
              <w:t>栋历史建筑</w:t>
            </w:r>
            <w:r>
              <w:rPr>
                <w:rFonts w:ascii="Times New Roman" w:hAnsi="Times New Roman" w:cs="Times New Roman"/>
                <w:color w:val="auto"/>
              </w:rPr>
              <w:t>(</w:t>
            </w:r>
            <w:r>
              <w:rPr>
                <w:rFonts w:hint="eastAsia" w:ascii="Times New Roman" w:hAnsi="Times New Roman" w:cs="Times New Roman"/>
                <w:color w:val="auto"/>
                <w:lang w:eastAsia="zh-CN"/>
              </w:rPr>
              <w:t>邹子文祖屋、邹水生祖屋、邹秋庆祖屋、邹福生祖屋、邹华顺祖屋）</w:t>
            </w:r>
            <w:r>
              <w:rPr>
                <w:rFonts w:hint="eastAsia" w:ascii="Times New Roman" w:hAnsi="Times New Roman" w:cs="Times New Roman"/>
                <w:color w:val="auto"/>
              </w:rPr>
              <w:t>测绘建档、图则编制。</w:t>
            </w:r>
          </w:p>
        </w:tc>
        <w:tc>
          <w:tcPr>
            <w:tcW w:w="2989" w:type="dxa"/>
            <w:vAlign w:val="center"/>
          </w:tcPr>
          <w:p w14:paraId="01BBCEE0">
            <w:pPr>
              <w:pStyle w:val="7"/>
              <w:widowControl w:val="0"/>
              <w:kinsoku/>
              <w:autoSpaceDE/>
              <w:autoSpaceDN/>
              <w:ind w:left="15" w:right="156"/>
              <w:jc w:val="both"/>
              <w:textAlignment w:val="auto"/>
              <w:rPr>
                <w:rFonts w:ascii="Times New Roman" w:hAnsi="Times New Roman" w:cs="Times New Roman"/>
                <w:color w:val="auto"/>
              </w:rPr>
            </w:pPr>
            <w:r>
              <w:rPr>
                <w:rFonts w:hint="eastAsia" w:ascii="Times New Roman" w:hAnsi="Times New Roman" w:cs="Times New Roman"/>
                <w:color w:val="auto"/>
              </w:rPr>
              <w:t>开展历史建筑的测绘建档、图则编制，覆盖率达</w:t>
            </w:r>
            <w:r>
              <w:rPr>
                <w:rFonts w:ascii="Times New Roman" w:hAnsi="Times New Roman" w:cs="Times New Roman"/>
                <w:color w:val="auto"/>
              </w:rPr>
              <w:t>50%</w:t>
            </w:r>
            <w:r>
              <w:rPr>
                <w:rFonts w:hint="eastAsia" w:ascii="Times New Roman" w:hAnsi="Times New Roman" w:cs="Times New Roman"/>
                <w:color w:val="auto"/>
              </w:rPr>
              <w:t>以上。</w:t>
            </w:r>
          </w:p>
        </w:tc>
        <w:tc>
          <w:tcPr>
            <w:tcW w:w="3136" w:type="dxa"/>
            <w:vAlign w:val="center"/>
          </w:tcPr>
          <w:p w14:paraId="38750778">
            <w:pPr>
              <w:pStyle w:val="7"/>
              <w:widowControl w:val="0"/>
              <w:kinsoku/>
              <w:autoSpaceDE/>
              <w:autoSpaceDN/>
              <w:ind w:left="27" w:right="88"/>
              <w:jc w:val="both"/>
              <w:textAlignment w:val="auto"/>
              <w:rPr>
                <w:rFonts w:ascii="Times New Roman" w:hAnsi="Times New Roman" w:cs="Times New Roman"/>
                <w:color w:val="auto"/>
              </w:rPr>
            </w:pPr>
            <w:r>
              <w:rPr>
                <w:rFonts w:hint="eastAsia" w:ascii="Times New Roman" w:hAnsi="Times New Roman" w:cs="Times New Roman"/>
                <w:color w:val="auto"/>
              </w:rPr>
              <w:t>全面完成历史建筑的测绘建档、图则编制，建立存档制度，</w:t>
            </w:r>
          </w:p>
        </w:tc>
      </w:tr>
      <w:tr w14:paraId="2DA09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0" w:hRule="atLeast"/>
          <w:jc w:val="center"/>
        </w:trPr>
        <w:tc>
          <w:tcPr>
            <w:tcW w:w="606" w:type="dxa"/>
            <w:vMerge w:val="continue"/>
            <w:vAlign w:val="center"/>
          </w:tcPr>
          <w:p w14:paraId="06ECA90E">
            <w:pPr>
              <w:widowControl w:val="0"/>
              <w:kinsoku/>
              <w:autoSpaceDE/>
              <w:autoSpaceDN/>
              <w:jc w:val="both"/>
              <w:textAlignment w:val="auto"/>
              <w:rPr>
                <w:rFonts w:ascii="Times New Roman" w:hAnsi="Times New Roman" w:cs="Times New Roman"/>
                <w:color w:val="auto"/>
              </w:rPr>
            </w:pPr>
          </w:p>
        </w:tc>
        <w:tc>
          <w:tcPr>
            <w:tcW w:w="1488" w:type="dxa"/>
            <w:vMerge w:val="continue"/>
            <w:vAlign w:val="center"/>
          </w:tcPr>
          <w:p w14:paraId="2ABC3E2F">
            <w:pPr>
              <w:widowControl w:val="0"/>
              <w:kinsoku/>
              <w:autoSpaceDE/>
              <w:autoSpaceDN/>
              <w:jc w:val="both"/>
              <w:textAlignment w:val="auto"/>
              <w:rPr>
                <w:rFonts w:ascii="Times New Roman" w:hAnsi="Times New Roman" w:cs="Times New Roman"/>
                <w:color w:val="auto"/>
              </w:rPr>
            </w:pPr>
          </w:p>
        </w:tc>
        <w:tc>
          <w:tcPr>
            <w:tcW w:w="2700" w:type="dxa"/>
            <w:vAlign w:val="center"/>
          </w:tcPr>
          <w:p w14:paraId="582F1D3E">
            <w:pPr>
              <w:pStyle w:val="7"/>
              <w:widowControl w:val="0"/>
              <w:kinsoku/>
              <w:autoSpaceDE/>
              <w:autoSpaceDN/>
              <w:ind w:right="155"/>
              <w:jc w:val="both"/>
              <w:textAlignment w:val="auto"/>
              <w:rPr>
                <w:rFonts w:ascii="Times New Roman" w:hAnsi="Times New Roman" w:cs="Times New Roman"/>
                <w:color w:val="auto"/>
              </w:rPr>
            </w:pPr>
            <w:r>
              <w:rPr>
                <w:rFonts w:hint="eastAsia" w:ascii="Times New Roman" w:hAnsi="Times New Roman" w:cs="Times New Roman"/>
                <w:color w:val="auto"/>
              </w:rPr>
              <w:t>完成历史建筑及传统风貌建筑保护修缮</w:t>
            </w:r>
          </w:p>
        </w:tc>
        <w:tc>
          <w:tcPr>
            <w:tcW w:w="3178" w:type="dxa"/>
            <w:vAlign w:val="center"/>
          </w:tcPr>
          <w:p w14:paraId="6BFD6073">
            <w:pPr>
              <w:pStyle w:val="7"/>
              <w:widowControl w:val="0"/>
              <w:kinsoku/>
              <w:autoSpaceDE/>
              <w:autoSpaceDN/>
              <w:ind w:left="22" w:hanging="9"/>
              <w:jc w:val="both"/>
              <w:textAlignment w:val="auto"/>
              <w:rPr>
                <w:rFonts w:ascii="Times New Roman" w:hAnsi="Times New Roman" w:cs="Times New Roman"/>
                <w:color w:val="auto"/>
              </w:rPr>
            </w:pPr>
            <w:r>
              <w:rPr>
                <w:rFonts w:hint="eastAsia" w:ascii="Times New Roman" w:hAnsi="Times New Roman" w:cs="Times New Roman"/>
                <w:color w:val="auto"/>
              </w:rPr>
              <w:t>完成传统村落</w:t>
            </w:r>
            <w:r>
              <w:rPr>
                <w:rFonts w:ascii="Times New Roman" w:hAnsi="Times New Roman" w:cs="Times New Roman"/>
                <w:color w:val="auto"/>
              </w:rPr>
              <w:t>5</w:t>
            </w:r>
            <w:r>
              <w:rPr>
                <w:rFonts w:hint="eastAsia" w:ascii="Times New Roman" w:hAnsi="Times New Roman" w:cs="Times New Roman"/>
                <w:color w:val="auto"/>
              </w:rPr>
              <w:t>栋以上历史建筑保护修缮任务；对濒危的历史建筑实施抢救性保护。</w:t>
            </w:r>
          </w:p>
        </w:tc>
        <w:tc>
          <w:tcPr>
            <w:tcW w:w="2989" w:type="dxa"/>
            <w:vAlign w:val="center"/>
          </w:tcPr>
          <w:p w14:paraId="1584BEDC">
            <w:pPr>
              <w:pStyle w:val="7"/>
              <w:widowControl w:val="0"/>
              <w:kinsoku/>
              <w:autoSpaceDE/>
              <w:autoSpaceDN/>
              <w:jc w:val="both"/>
              <w:textAlignment w:val="auto"/>
              <w:rPr>
                <w:rFonts w:ascii="Times New Roman" w:hAnsi="Times New Roman" w:cs="Times New Roman"/>
                <w:color w:val="auto"/>
              </w:rPr>
            </w:pPr>
            <w:r>
              <w:rPr>
                <w:rFonts w:hint="eastAsia" w:ascii="Times New Roman" w:hAnsi="Times New Roman" w:cs="Times New Roman"/>
                <w:color w:val="auto"/>
              </w:rPr>
              <w:t>全面完成历史建筑和传统风貌建筑的保护修缮，做到</w:t>
            </w:r>
            <w:r>
              <w:rPr>
                <w:rFonts w:ascii="Times New Roman" w:hAnsi="Times New Roman" w:cs="Times New Roman"/>
                <w:color w:val="auto"/>
              </w:rPr>
              <w:t>“</w:t>
            </w:r>
            <w:r>
              <w:rPr>
                <w:rFonts w:hint="eastAsia" w:ascii="Times New Roman" w:hAnsi="Times New Roman" w:cs="Times New Roman"/>
                <w:color w:val="auto"/>
              </w:rPr>
              <w:t>应修尽修</w:t>
            </w:r>
            <w:r>
              <w:rPr>
                <w:rFonts w:ascii="Times New Roman" w:hAnsi="Times New Roman" w:cs="Times New Roman"/>
                <w:color w:val="auto"/>
              </w:rPr>
              <w:t>”</w:t>
            </w:r>
            <w:r>
              <w:rPr>
                <w:rFonts w:hint="eastAsia" w:ascii="Times New Roman" w:hAnsi="Times New Roman" w:cs="Times New Roman"/>
                <w:color w:val="auto"/>
              </w:rPr>
              <w:t>。</w:t>
            </w:r>
          </w:p>
        </w:tc>
        <w:tc>
          <w:tcPr>
            <w:tcW w:w="3136" w:type="dxa"/>
            <w:vAlign w:val="center"/>
          </w:tcPr>
          <w:p w14:paraId="1DD91A88">
            <w:pPr>
              <w:pStyle w:val="7"/>
              <w:widowControl w:val="0"/>
              <w:kinsoku/>
              <w:autoSpaceDE/>
              <w:autoSpaceDN/>
              <w:ind w:left="17" w:right="89"/>
              <w:jc w:val="both"/>
              <w:textAlignment w:val="auto"/>
              <w:rPr>
                <w:rFonts w:ascii="Times New Roman" w:hAnsi="Times New Roman" w:cs="Times New Roman"/>
                <w:color w:val="auto"/>
              </w:rPr>
            </w:pPr>
            <w:r>
              <w:rPr>
                <w:rFonts w:hint="eastAsia" w:ascii="Times New Roman" w:hAnsi="Times New Roman" w:cs="Times New Roman"/>
                <w:color w:val="auto"/>
              </w:rPr>
              <w:t>开展保护范围内不协调房屋风貌改造，形成与传统村落相适应的协调风貌。</w:t>
            </w:r>
          </w:p>
        </w:tc>
      </w:tr>
      <w:tr w14:paraId="5B930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6" w:hRule="atLeast"/>
          <w:jc w:val="center"/>
        </w:trPr>
        <w:tc>
          <w:tcPr>
            <w:tcW w:w="606" w:type="dxa"/>
            <w:vMerge w:val="continue"/>
            <w:vAlign w:val="center"/>
          </w:tcPr>
          <w:p w14:paraId="4012DF66">
            <w:pPr>
              <w:widowControl w:val="0"/>
              <w:kinsoku/>
              <w:autoSpaceDE/>
              <w:autoSpaceDN/>
              <w:jc w:val="both"/>
              <w:textAlignment w:val="auto"/>
              <w:rPr>
                <w:rFonts w:ascii="Times New Roman" w:hAnsi="Times New Roman" w:cs="Times New Roman"/>
                <w:color w:val="auto"/>
              </w:rPr>
            </w:pPr>
          </w:p>
        </w:tc>
        <w:tc>
          <w:tcPr>
            <w:tcW w:w="1488" w:type="dxa"/>
            <w:vMerge w:val="continue"/>
            <w:vAlign w:val="center"/>
          </w:tcPr>
          <w:p w14:paraId="7A0D17CE">
            <w:pPr>
              <w:widowControl w:val="0"/>
              <w:kinsoku/>
              <w:autoSpaceDE/>
              <w:autoSpaceDN/>
              <w:jc w:val="both"/>
              <w:textAlignment w:val="auto"/>
              <w:rPr>
                <w:rFonts w:ascii="Times New Roman" w:hAnsi="Times New Roman" w:cs="Times New Roman"/>
                <w:color w:val="auto"/>
              </w:rPr>
            </w:pPr>
          </w:p>
        </w:tc>
        <w:tc>
          <w:tcPr>
            <w:tcW w:w="2700" w:type="dxa"/>
            <w:vAlign w:val="center"/>
          </w:tcPr>
          <w:p w14:paraId="6262E498">
            <w:pPr>
              <w:pStyle w:val="7"/>
              <w:widowControl w:val="0"/>
              <w:kinsoku/>
              <w:autoSpaceDE/>
              <w:autoSpaceDN/>
              <w:ind w:right="132"/>
              <w:jc w:val="both"/>
              <w:textAlignment w:val="auto"/>
              <w:rPr>
                <w:rFonts w:ascii="Times New Roman" w:hAnsi="Times New Roman" w:cs="Times New Roman"/>
                <w:color w:val="auto"/>
              </w:rPr>
            </w:pPr>
            <w:r>
              <w:rPr>
                <w:rFonts w:hint="eastAsia" w:ascii="Times New Roman" w:hAnsi="Times New Roman" w:cs="Times New Roman"/>
                <w:color w:val="auto"/>
              </w:rPr>
              <w:t>推进历史建筑和传统风貌建筑的改善提升与活化利用</w:t>
            </w:r>
          </w:p>
        </w:tc>
        <w:tc>
          <w:tcPr>
            <w:tcW w:w="3178" w:type="dxa"/>
            <w:vAlign w:val="center"/>
          </w:tcPr>
          <w:p w14:paraId="15EFFFC9">
            <w:pPr>
              <w:pStyle w:val="7"/>
              <w:widowControl w:val="0"/>
              <w:kinsoku/>
              <w:autoSpaceDE/>
              <w:autoSpaceDN/>
              <w:ind w:left="13" w:right="218" w:firstLine="9"/>
              <w:jc w:val="both"/>
              <w:textAlignment w:val="auto"/>
              <w:rPr>
                <w:rFonts w:ascii="Times New Roman" w:hAnsi="Times New Roman" w:cs="Times New Roman"/>
                <w:color w:val="auto"/>
              </w:rPr>
            </w:pPr>
            <w:r>
              <w:rPr>
                <w:rFonts w:hint="eastAsia" w:ascii="Times New Roman" w:hAnsi="Times New Roman" w:cs="Times New Roman"/>
                <w:color w:val="auto"/>
              </w:rPr>
              <w:t>完成传统村落</w:t>
            </w:r>
            <w:r>
              <w:rPr>
                <w:rFonts w:ascii="Times New Roman" w:hAnsi="Times New Roman" w:cs="Times New Roman"/>
                <w:color w:val="auto"/>
              </w:rPr>
              <w:t>5</w:t>
            </w:r>
            <w:r>
              <w:rPr>
                <w:rFonts w:hint="eastAsia" w:ascii="Times New Roman" w:hAnsi="Times New Roman" w:cs="Times New Roman"/>
                <w:color w:val="auto"/>
              </w:rPr>
              <w:t>栋以上历史建筑的改善提升与活化利用。</w:t>
            </w:r>
          </w:p>
        </w:tc>
        <w:tc>
          <w:tcPr>
            <w:tcW w:w="2989" w:type="dxa"/>
            <w:vAlign w:val="center"/>
          </w:tcPr>
          <w:p w14:paraId="64470C88">
            <w:pPr>
              <w:pStyle w:val="7"/>
              <w:widowControl w:val="0"/>
              <w:kinsoku/>
              <w:autoSpaceDE/>
              <w:autoSpaceDN/>
              <w:jc w:val="both"/>
              <w:textAlignment w:val="auto"/>
              <w:rPr>
                <w:rFonts w:ascii="Times New Roman" w:hAnsi="Times New Roman" w:cs="Times New Roman"/>
                <w:color w:val="auto"/>
              </w:rPr>
            </w:pPr>
            <w:r>
              <w:rPr>
                <w:rFonts w:hint="eastAsia" w:ascii="Times New Roman" w:hAnsi="Times New Roman" w:cs="Times New Roman"/>
                <w:color w:val="auto"/>
              </w:rPr>
              <w:t>持续推进历史建筑和传统风貌建筑的改善提升与活化利用，探索建立符合传统村落发展的方</w:t>
            </w:r>
          </w:p>
          <w:p w14:paraId="2E7B25F5">
            <w:pPr>
              <w:pStyle w:val="7"/>
              <w:widowControl w:val="0"/>
              <w:kinsoku/>
              <w:autoSpaceDE/>
              <w:autoSpaceDN/>
              <w:ind w:left="15"/>
              <w:jc w:val="both"/>
              <w:textAlignment w:val="auto"/>
              <w:rPr>
                <w:rFonts w:ascii="Times New Roman" w:hAnsi="Times New Roman" w:cs="Times New Roman"/>
                <w:color w:val="auto"/>
              </w:rPr>
            </w:pPr>
            <w:r>
              <w:rPr>
                <w:rFonts w:hint="eastAsia" w:ascii="Times New Roman" w:hAnsi="Times New Roman" w:cs="Times New Roman"/>
                <w:color w:val="auto"/>
              </w:rPr>
              <w:t>案。</w:t>
            </w:r>
          </w:p>
        </w:tc>
        <w:tc>
          <w:tcPr>
            <w:tcW w:w="3136" w:type="dxa"/>
            <w:vAlign w:val="center"/>
          </w:tcPr>
          <w:p w14:paraId="1198E7CD">
            <w:pPr>
              <w:pStyle w:val="7"/>
              <w:widowControl w:val="0"/>
              <w:kinsoku/>
              <w:autoSpaceDE/>
              <w:autoSpaceDN/>
              <w:ind w:right="5"/>
              <w:jc w:val="both"/>
              <w:textAlignment w:val="auto"/>
              <w:rPr>
                <w:rFonts w:ascii="Times New Roman" w:hAnsi="Times New Roman" w:cs="Times New Roman"/>
                <w:color w:val="auto"/>
              </w:rPr>
            </w:pPr>
            <w:r>
              <w:rPr>
                <w:rFonts w:hint="eastAsia" w:ascii="Times New Roman" w:hAnsi="Times New Roman" w:cs="Times New Roman"/>
                <w:color w:val="auto"/>
              </w:rPr>
              <w:t>全面推进历史建筑和传统风貌建筑的改善提升与活化利用，形成具有</w:t>
            </w:r>
            <w:r>
              <w:rPr>
                <w:rFonts w:ascii="Times New Roman" w:hAnsi="Times New Roman" w:cs="Times New Roman"/>
                <w:color w:val="auto"/>
              </w:rPr>
              <w:t>“</w:t>
            </w:r>
            <w:r>
              <w:rPr>
                <w:rFonts w:hint="eastAsia" w:ascii="Times New Roman" w:hAnsi="Times New Roman" w:cs="Times New Roman"/>
                <w:color w:val="auto"/>
              </w:rPr>
              <w:t>一村一方案</w:t>
            </w:r>
            <w:r>
              <w:rPr>
                <w:rFonts w:ascii="Times New Roman" w:hAnsi="Times New Roman" w:cs="Times New Roman"/>
                <w:color w:val="auto"/>
              </w:rPr>
              <w:t>”</w:t>
            </w:r>
            <w:r>
              <w:rPr>
                <w:rFonts w:hint="eastAsia" w:ascii="Times New Roman" w:hAnsi="Times New Roman" w:cs="Times New Roman"/>
                <w:color w:val="auto"/>
              </w:rPr>
              <w:t>的活化利用特色运行机制。</w:t>
            </w:r>
          </w:p>
        </w:tc>
      </w:tr>
      <w:tr w14:paraId="0C559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23" w:hRule="atLeast"/>
          <w:jc w:val="center"/>
        </w:trPr>
        <w:tc>
          <w:tcPr>
            <w:tcW w:w="606" w:type="dxa"/>
            <w:vAlign w:val="center"/>
          </w:tcPr>
          <w:p w14:paraId="033B7461">
            <w:pPr>
              <w:pStyle w:val="7"/>
              <w:widowControl w:val="0"/>
              <w:kinsoku/>
              <w:autoSpaceDE/>
              <w:autoSpaceDN/>
              <w:ind w:left="165"/>
              <w:jc w:val="both"/>
              <w:textAlignment w:val="auto"/>
              <w:rPr>
                <w:rFonts w:ascii="Times New Roman" w:hAnsi="Times New Roman" w:cs="Times New Roman"/>
                <w:color w:val="auto"/>
              </w:rPr>
            </w:pPr>
            <w:r>
              <w:rPr>
                <w:rFonts w:hint="eastAsia" w:ascii="Times New Roman" w:hAnsi="Times New Roman" w:cs="Times New Roman"/>
                <w:color w:val="auto"/>
              </w:rPr>
              <w:t>四</w:t>
            </w:r>
          </w:p>
        </w:tc>
        <w:tc>
          <w:tcPr>
            <w:tcW w:w="1488" w:type="dxa"/>
            <w:vAlign w:val="center"/>
          </w:tcPr>
          <w:p w14:paraId="2C6ECAD8">
            <w:pPr>
              <w:pStyle w:val="7"/>
              <w:widowControl w:val="0"/>
              <w:kinsoku/>
              <w:autoSpaceDE/>
              <w:autoSpaceDN/>
              <w:ind w:right="74"/>
              <w:jc w:val="both"/>
              <w:textAlignment w:val="auto"/>
              <w:rPr>
                <w:rFonts w:ascii="Times New Roman" w:hAnsi="Times New Roman" w:cs="Times New Roman"/>
                <w:color w:val="auto"/>
              </w:rPr>
            </w:pPr>
            <w:r>
              <w:rPr>
                <w:rFonts w:hint="eastAsia" w:ascii="Times New Roman" w:hAnsi="Times New Roman" w:cs="Times New Roman"/>
                <w:color w:val="auto"/>
              </w:rPr>
              <w:t>历史环境要素的建档与保护</w:t>
            </w:r>
          </w:p>
        </w:tc>
        <w:tc>
          <w:tcPr>
            <w:tcW w:w="2700" w:type="dxa"/>
            <w:vAlign w:val="center"/>
          </w:tcPr>
          <w:p w14:paraId="24684210">
            <w:pPr>
              <w:pStyle w:val="7"/>
              <w:widowControl w:val="0"/>
              <w:kinsoku/>
              <w:autoSpaceDE/>
              <w:autoSpaceDN/>
              <w:ind w:left="11" w:firstLine="19"/>
              <w:jc w:val="both"/>
              <w:textAlignment w:val="auto"/>
              <w:rPr>
                <w:rFonts w:ascii="Times New Roman" w:hAnsi="Times New Roman" w:cs="Times New Roman"/>
                <w:color w:val="auto"/>
              </w:rPr>
            </w:pPr>
            <w:r>
              <w:rPr>
                <w:rFonts w:hint="eastAsia" w:ascii="Times New Roman" w:hAnsi="Times New Roman" w:cs="Times New Roman"/>
                <w:color w:val="auto"/>
              </w:rPr>
              <w:t>完成古井、古桥、古道、古树名木、传统街巷等历史环境要素的建档、保护、改善提升与修复。</w:t>
            </w:r>
          </w:p>
        </w:tc>
        <w:tc>
          <w:tcPr>
            <w:tcW w:w="3178" w:type="dxa"/>
            <w:vAlign w:val="center"/>
          </w:tcPr>
          <w:p w14:paraId="673B2CA3">
            <w:pPr>
              <w:pStyle w:val="7"/>
              <w:widowControl w:val="0"/>
              <w:kinsoku/>
              <w:autoSpaceDE/>
              <w:autoSpaceDN/>
              <w:jc w:val="both"/>
              <w:textAlignment w:val="auto"/>
              <w:rPr>
                <w:rFonts w:ascii="Times New Roman" w:hAnsi="Times New Roman" w:cs="Times New Roman"/>
                <w:color w:val="auto"/>
              </w:rPr>
            </w:pPr>
            <w:r>
              <w:rPr>
                <w:rFonts w:hint="eastAsia" w:ascii="Times New Roman" w:hAnsi="Times New Roman" w:cs="Times New Roman"/>
                <w:color w:val="auto"/>
              </w:rPr>
              <w:t>开展历史环境要素的梳理建档、环境整治、抢救性保护，遏制历史环境要素的破坏、灭失。</w:t>
            </w:r>
          </w:p>
        </w:tc>
        <w:tc>
          <w:tcPr>
            <w:tcW w:w="2989" w:type="dxa"/>
            <w:vAlign w:val="center"/>
          </w:tcPr>
          <w:p w14:paraId="31377203">
            <w:pPr>
              <w:pStyle w:val="7"/>
              <w:widowControl w:val="0"/>
              <w:kinsoku/>
              <w:autoSpaceDE/>
              <w:autoSpaceDN/>
              <w:jc w:val="both"/>
              <w:textAlignment w:val="auto"/>
              <w:rPr>
                <w:rFonts w:ascii="Times New Roman" w:hAnsi="Times New Roman" w:cs="Times New Roman"/>
                <w:color w:val="auto"/>
              </w:rPr>
            </w:pPr>
            <w:r>
              <w:rPr>
                <w:rFonts w:hint="eastAsia" w:ascii="Times New Roman" w:hAnsi="Times New Roman" w:cs="Times New Roman"/>
                <w:color w:val="auto"/>
              </w:rPr>
              <w:t>依据保护规划要求，开展历史环境要素的改善提升与修复。</w:t>
            </w:r>
          </w:p>
        </w:tc>
        <w:tc>
          <w:tcPr>
            <w:tcW w:w="3136" w:type="dxa"/>
            <w:vAlign w:val="center"/>
          </w:tcPr>
          <w:p w14:paraId="68F7F14C">
            <w:pPr>
              <w:pStyle w:val="7"/>
              <w:widowControl w:val="0"/>
              <w:kinsoku/>
              <w:autoSpaceDE/>
              <w:autoSpaceDN/>
              <w:ind w:right="203"/>
              <w:jc w:val="both"/>
              <w:textAlignment w:val="auto"/>
              <w:rPr>
                <w:rFonts w:ascii="Times New Roman" w:hAnsi="Times New Roman" w:cs="Times New Roman"/>
                <w:color w:val="auto"/>
              </w:rPr>
            </w:pPr>
            <w:r>
              <w:rPr>
                <w:rFonts w:hint="eastAsia" w:ascii="Times New Roman" w:hAnsi="Times New Roman" w:cs="Times New Roman"/>
                <w:color w:val="auto"/>
              </w:rPr>
              <w:t>依据保护规划要求，全面完成历史环境要素的修复。</w:t>
            </w:r>
          </w:p>
        </w:tc>
      </w:tr>
      <w:tr w14:paraId="57DA5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84" w:hRule="atLeast"/>
          <w:jc w:val="center"/>
        </w:trPr>
        <w:tc>
          <w:tcPr>
            <w:tcW w:w="606" w:type="dxa"/>
            <w:vAlign w:val="center"/>
          </w:tcPr>
          <w:p w14:paraId="363BB5CB">
            <w:pPr>
              <w:pStyle w:val="7"/>
              <w:widowControl w:val="0"/>
              <w:kinsoku/>
              <w:autoSpaceDE/>
              <w:autoSpaceDN/>
              <w:ind w:left="165"/>
              <w:jc w:val="both"/>
              <w:textAlignment w:val="auto"/>
              <w:rPr>
                <w:rFonts w:ascii="Times New Roman" w:hAnsi="Times New Roman" w:cs="Times New Roman"/>
                <w:color w:val="auto"/>
              </w:rPr>
            </w:pPr>
            <w:r>
              <w:rPr>
                <w:rFonts w:hint="eastAsia" w:ascii="Times New Roman" w:hAnsi="Times New Roman" w:cs="Times New Roman"/>
                <w:color w:val="auto"/>
              </w:rPr>
              <w:t>五</w:t>
            </w:r>
          </w:p>
        </w:tc>
        <w:tc>
          <w:tcPr>
            <w:tcW w:w="1488" w:type="dxa"/>
            <w:vAlign w:val="center"/>
          </w:tcPr>
          <w:p w14:paraId="5B8B0F54">
            <w:pPr>
              <w:pStyle w:val="7"/>
              <w:widowControl w:val="0"/>
              <w:kinsoku/>
              <w:autoSpaceDE/>
              <w:autoSpaceDN/>
              <w:ind w:right="77"/>
              <w:jc w:val="both"/>
              <w:textAlignment w:val="auto"/>
              <w:rPr>
                <w:rFonts w:ascii="Times New Roman" w:hAnsi="Times New Roman" w:cs="Times New Roman"/>
                <w:color w:val="auto"/>
              </w:rPr>
            </w:pPr>
            <w:r>
              <w:rPr>
                <w:rFonts w:hint="eastAsia" w:ascii="Times New Roman" w:hAnsi="Times New Roman" w:cs="Times New Roman"/>
                <w:color w:val="auto"/>
              </w:rPr>
              <w:t>非物质文化遗产传承</w:t>
            </w:r>
          </w:p>
        </w:tc>
        <w:tc>
          <w:tcPr>
            <w:tcW w:w="2700" w:type="dxa"/>
            <w:vAlign w:val="center"/>
          </w:tcPr>
          <w:p w14:paraId="414C1E15">
            <w:pPr>
              <w:pStyle w:val="7"/>
              <w:widowControl w:val="0"/>
              <w:kinsoku/>
              <w:autoSpaceDE/>
              <w:autoSpaceDN/>
              <w:ind w:left="11"/>
              <w:jc w:val="both"/>
              <w:textAlignment w:val="auto"/>
              <w:rPr>
                <w:rFonts w:ascii="Times New Roman" w:hAnsi="Times New Roman" w:cs="Times New Roman"/>
                <w:color w:val="auto"/>
              </w:rPr>
            </w:pPr>
            <w:r>
              <w:rPr>
                <w:rFonts w:hint="eastAsia" w:ascii="Times New Roman" w:hAnsi="Times New Roman" w:cs="Times New Roman"/>
                <w:color w:val="auto"/>
              </w:rPr>
              <w:t>积极开发、合理利用各类物质和非物质文化遗产，促进非物质文化传承与活化利用。</w:t>
            </w:r>
          </w:p>
        </w:tc>
        <w:tc>
          <w:tcPr>
            <w:tcW w:w="3178" w:type="dxa"/>
            <w:vAlign w:val="center"/>
          </w:tcPr>
          <w:p w14:paraId="7BF354CD">
            <w:pPr>
              <w:pStyle w:val="7"/>
              <w:widowControl w:val="0"/>
              <w:kinsoku/>
              <w:autoSpaceDE/>
              <w:autoSpaceDN/>
              <w:ind w:left="13"/>
              <w:jc w:val="both"/>
              <w:textAlignment w:val="auto"/>
              <w:rPr>
                <w:rFonts w:ascii="Times New Roman" w:hAnsi="Times New Roman" w:cs="Times New Roman"/>
                <w:color w:val="auto"/>
              </w:rPr>
            </w:pPr>
            <w:r>
              <w:rPr>
                <w:rFonts w:hint="eastAsia" w:ascii="Times New Roman" w:hAnsi="Times New Roman" w:cs="Times New Roman"/>
                <w:color w:val="auto"/>
              </w:rPr>
              <w:t>调研梳理当地代表性非物质文化项目，提出传承活化利用措施及方案，并启动项目实施落地。</w:t>
            </w:r>
          </w:p>
        </w:tc>
        <w:tc>
          <w:tcPr>
            <w:tcW w:w="2989" w:type="dxa"/>
            <w:vAlign w:val="center"/>
          </w:tcPr>
          <w:p w14:paraId="68E4489B">
            <w:pPr>
              <w:pStyle w:val="7"/>
              <w:widowControl w:val="0"/>
              <w:kinsoku/>
              <w:autoSpaceDE/>
              <w:autoSpaceDN/>
              <w:jc w:val="both"/>
              <w:textAlignment w:val="auto"/>
              <w:rPr>
                <w:rFonts w:ascii="Times New Roman" w:hAnsi="Times New Roman" w:cs="Times New Roman"/>
                <w:color w:val="auto"/>
              </w:rPr>
            </w:pPr>
            <w:r>
              <w:rPr>
                <w:rFonts w:hint="eastAsia" w:ascii="Times New Roman" w:hAnsi="Times New Roman" w:cs="Times New Roman"/>
                <w:color w:val="auto"/>
              </w:rPr>
              <w:t>统筹协调资源开发利用，改善传承条件，恢复传承场所，明确项目传承人。</w:t>
            </w:r>
          </w:p>
        </w:tc>
        <w:tc>
          <w:tcPr>
            <w:tcW w:w="3136" w:type="dxa"/>
            <w:vAlign w:val="center"/>
          </w:tcPr>
          <w:p w14:paraId="51E58AE0">
            <w:pPr>
              <w:pStyle w:val="7"/>
              <w:widowControl w:val="0"/>
              <w:kinsoku/>
              <w:autoSpaceDE/>
              <w:autoSpaceDN/>
              <w:ind w:right="114"/>
              <w:jc w:val="both"/>
              <w:textAlignment w:val="auto"/>
              <w:rPr>
                <w:rFonts w:ascii="Times New Roman" w:hAnsi="Times New Roman" w:cs="Times New Roman"/>
                <w:color w:val="auto"/>
              </w:rPr>
            </w:pPr>
            <w:r>
              <w:rPr>
                <w:rFonts w:hint="eastAsia" w:ascii="Times New Roman" w:hAnsi="Times New Roman" w:cs="Times New Roman"/>
                <w:color w:val="auto"/>
              </w:rPr>
              <w:t>形成品牌，传承文化，实现社会效益、环境效益和经济效益的统一</w:t>
            </w:r>
            <w:r>
              <w:rPr>
                <w:rFonts w:ascii="Times New Roman" w:hAnsi="Times New Roman" w:cs="Times New Roman"/>
                <w:color w:val="auto"/>
              </w:rPr>
              <w:t>.</w:t>
            </w:r>
          </w:p>
        </w:tc>
      </w:tr>
      <w:tr w14:paraId="077EE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5" w:hRule="atLeast"/>
          <w:jc w:val="center"/>
        </w:trPr>
        <w:tc>
          <w:tcPr>
            <w:tcW w:w="606" w:type="dxa"/>
            <w:vAlign w:val="center"/>
          </w:tcPr>
          <w:p w14:paraId="4E23A9B4">
            <w:pPr>
              <w:pStyle w:val="7"/>
              <w:widowControl w:val="0"/>
              <w:kinsoku/>
              <w:autoSpaceDE/>
              <w:autoSpaceDN/>
              <w:ind w:left="164"/>
              <w:jc w:val="both"/>
              <w:textAlignment w:val="auto"/>
              <w:rPr>
                <w:rFonts w:ascii="Times New Roman" w:hAnsi="Times New Roman" w:cs="Times New Roman"/>
                <w:color w:val="auto"/>
              </w:rPr>
            </w:pPr>
            <w:r>
              <w:rPr>
                <w:rFonts w:hint="eastAsia" w:ascii="Times New Roman" w:hAnsi="Times New Roman" w:cs="Times New Roman"/>
                <w:color w:val="auto"/>
              </w:rPr>
              <w:t>六</w:t>
            </w:r>
          </w:p>
        </w:tc>
        <w:tc>
          <w:tcPr>
            <w:tcW w:w="1488" w:type="dxa"/>
            <w:vAlign w:val="center"/>
          </w:tcPr>
          <w:p w14:paraId="6D23C368">
            <w:pPr>
              <w:pStyle w:val="7"/>
              <w:widowControl w:val="0"/>
              <w:kinsoku/>
              <w:autoSpaceDE/>
              <w:autoSpaceDN/>
              <w:jc w:val="both"/>
              <w:textAlignment w:val="auto"/>
              <w:rPr>
                <w:rFonts w:ascii="Times New Roman" w:hAnsi="Times New Roman" w:cs="Times New Roman"/>
                <w:color w:val="auto"/>
              </w:rPr>
            </w:pPr>
            <w:r>
              <w:rPr>
                <w:rFonts w:hint="eastAsia" w:ascii="Times New Roman" w:hAnsi="Times New Roman" w:cs="Times New Roman"/>
                <w:color w:val="auto"/>
              </w:rPr>
              <w:t>标识系统设置</w:t>
            </w:r>
          </w:p>
        </w:tc>
        <w:tc>
          <w:tcPr>
            <w:tcW w:w="2700" w:type="dxa"/>
            <w:vAlign w:val="center"/>
          </w:tcPr>
          <w:p w14:paraId="5C9D21CF">
            <w:pPr>
              <w:pStyle w:val="7"/>
              <w:widowControl w:val="0"/>
              <w:kinsoku/>
              <w:autoSpaceDE/>
              <w:autoSpaceDN/>
              <w:ind w:left="11"/>
              <w:jc w:val="both"/>
              <w:textAlignment w:val="auto"/>
              <w:rPr>
                <w:rFonts w:ascii="Times New Roman" w:hAnsi="Times New Roman" w:cs="Times New Roman"/>
                <w:color w:val="auto"/>
              </w:rPr>
            </w:pPr>
            <w:r>
              <w:rPr>
                <w:rFonts w:hint="eastAsia" w:ascii="Times New Roman" w:hAnsi="Times New Roman" w:cs="Times New Roman"/>
                <w:color w:val="auto"/>
              </w:rPr>
              <w:t>完成传统村落、历史建筑保</w:t>
            </w:r>
          </w:p>
          <w:p w14:paraId="736D4271">
            <w:pPr>
              <w:pStyle w:val="7"/>
              <w:widowControl w:val="0"/>
              <w:kinsoku/>
              <w:autoSpaceDE/>
              <w:autoSpaceDN/>
              <w:ind w:left="311"/>
              <w:jc w:val="both"/>
              <w:textAlignment w:val="auto"/>
              <w:rPr>
                <w:rFonts w:ascii="Times New Roman" w:hAnsi="Times New Roman" w:cs="Times New Roman"/>
                <w:color w:val="auto"/>
              </w:rPr>
            </w:pPr>
            <w:r>
              <w:rPr>
                <w:rFonts w:hint="eastAsia" w:ascii="Times New Roman" w:hAnsi="Times New Roman" w:cs="Times New Roman"/>
                <w:color w:val="auto"/>
              </w:rPr>
              <w:t>护标志牌设置工作。</w:t>
            </w:r>
          </w:p>
        </w:tc>
        <w:tc>
          <w:tcPr>
            <w:tcW w:w="3178" w:type="dxa"/>
            <w:vAlign w:val="center"/>
          </w:tcPr>
          <w:p w14:paraId="2E9DEA18">
            <w:pPr>
              <w:pStyle w:val="7"/>
              <w:widowControl w:val="0"/>
              <w:kinsoku/>
              <w:autoSpaceDE/>
              <w:autoSpaceDN/>
              <w:jc w:val="both"/>
              <w:textAlignment w:val="auto"/>
              <w:rPr>
                <w:rFonts w:ascii="Times New Roman" w:hAnsi="Times New Roman" w:cs="Times New Roman"/>
                <w:color w:val="auto"/>
              </w:rPr>
            </w:pPr>
            <w:r>
              <w:rPr>
                <w:rFonts w:hint="eastAsia" w:ascii="Times New Roman" w:hAnsi="Times New Roman" w:cs="Times New Roman"/>
                <w:color w:val="auto"/>
              </w:rPr>
              <w:t>在传统村落核心保护范围的主要出入口设置保护标志；对现有的文物、历史建筑进行挂牌。</w:t>
            </w:r>
          </w:p>
        </w:tc>
        <w:tc>
          <w:tcPr>
            <w:tcW w:w="2989" w:type="dxa"/>
            <w:vAlign w:val="center"/>
          </w:tcPr>
          <w:p w14:paraId="00CAAAFD">
            <w:pPr>
              <w:pStyle w:val="7"/>
              <w:widowControl w:val="0"/>
              <w:kinsoku/>
              <w:autoSpaceDE/>
              <w:autoSpaceDN/>
              <w:ind w:right="130"/>
              <w:jc w:val="both"/>
              <w:textAlignment w:val="auto"/>
              <w:rPr>
                <w:rFonts w:ascii="Times New Roman" w:hAnsi="Times New Roman" w:cs="Times New Roman"/>
                <w:color w:val="auto"/>
              </w:rPr>
            </w:pPr>
            <w:r>
              <w:rPr>
                <w:rFonts w:hint="eastAsia" w:ascii="Times New Roman" w:hAnsi="Times New Roman" w:cs="Times New Roman"/>
                <w:color w:val="auto"/>
              </w:rPr>
              <w:t>新增文物、历史建筑及时设立标识牌并同步上报予以公布。</w:t>
            </w:r>
          </w:p>
        </w:tc>
        <w:tc>
          <w:tcPr>
            <w:tcW w:w="3136" w:type="dxa"/>
            <w:vAlign w:val="center"/>
          </w:tcPr>
          <w:p w14:paraId="0C41DAAA">
            <w:pPr>
              <w:pStyle w:val="7"/>
              <w:widowControl w:val="0"/>
              <w:kinsoku/>
              <w:autoSpaceDE/>
              <w:autoSpaceDN/>
              <w:ind w:left="17" w:right="162"/>
              <w:jc w:val="both"/>
              <w:textAlignment w:val="auto"/>
              <w:rPr>
                <w:rFonts w:ascii="Times New Roman" w:hAnsi="Times New Roman" w:cs="Times New Roman"/>
                <w:color w:val="auto"/>
              </w:rPr>
            </w:pPr>
            <w:r>
              <w:rPr>
                <w:rFonts w:hint="eastAsia" w:ascii="Times New Roman" w:hAnsi="Times New Roman" w:cs="Times New Roman"/>
                <w:color w:val="auto"/>
              </w:rPr>
              <w:t>新增文物、历史建筑及时设立标识牌并同步上报予以公布。</w:t>
            </w:r>
          </w:p>
        </w:tc>
      </w:tr>
      <w:tr w14:paraId="64062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87" w:hRule="atLeast"/>
          <w:jc w:val="center"/>
        </w:trPr>
        <w:tc>
          <w:tcPr>
            <w:tcW w:w="606" w:type="dxa"/>
            <w:vAlign w:val="center"/>
          </w:tcPr>
          <w:p w14:paraId="4820E9E5">
            <w:pPr>
              <w:pStyle w:val="7"/>
              <w:widowControl w:val="0"/>
              <w:kinsoku/>
              <w:autoSpaceDE/>
              <w:autoSpaceDN/>
              <w:ind w:left="164"/>
              <w:jc w:val="both"/>
              <w:textAlignment w:val="auto"/>
              <w:rPr>
                <w:rFonts w:ascii="Times New Roman" w:hAnsi="Times New Roman" w:cs="Times New Roman"/>
                <w:color w:val="auto"/>
              </w:rPr>
            </w:pPr>
            <w:r>
              <w:rPr>
                <w:rFonts w:hint="eastAsia" w:ascii="Times New Roman" w:hAnsi="Times New Roman" w:cs="Times New Roman"/>
                <w:color w:val="auto"/>
              </w:rPr>
              <w:t>七</w:t>
            </w:r>
          </w:p>
        </w:tc>
        <w:tc>
          <w:tcPr>
            <w:tcW w:w="1488" w:type="dxa"/>
            <w:vAlign w:val="center"/>
          </w:tcPr>
          <w:p w14:paraId="5C893937">
            <w:pPr>
              <w:pStyle w:val="7"/>
              <w:widowControl w:val="0"/>
              <w:kinsoku/>
              <w:autoSpaceDE/>
              <w:autoSpaceDN/>
              <w:jc w:val="both"/>
              <w:textAlignment w:val="auto"/>
              <w:rPr>
                <w:rFonts w:ascii="Times New Roman" w:hAnsi="Times New Roman" w:cs="Times New Roman"/>
                <w:color w:val="auto"/>
              </w:rPr>
            </w:pPr>
            <w:r>
              <w:rPr>
                <w:rFonts w:hint="eastAsia" w:ascii="Times New Roman" w:hAnsi="Times New Roman" w:cs="Times New Roman"/>
                <w:color w:val="auto"/>
              </w:rPr>
              <w:t>公共设施和基础设施改善情况</w:t>
            </w:r>
          </w:p>
        </w:tc>
        <w:tc>
          <w:tcPr>
            <w:tcW w:w="2700" w:type="dxa"/>
            <w:vAlign w:val="center"/>
          </w:tcPr>
          <w:p w14:paraId="07884DD1">
            <w:pPr>
              <w:pStyle w:val="7"/>
              <w:widowControl w:val="0"/>
              <w:kinsoku/>
              <w:autoSpaceDE/>
              <w:autoSpaceDN/>
              <w:ind w:left="11"/>
              <w:jc w:val="both"/>
              <w:textAlignment w:val="auto"/>
              <w:rPr>
                <w:rFonts w:ascii="Times New Roman" w:hAnsi="Times New Roman" w:cs="Times New Roman"/>
                <w:color w:val="auto"/>
              </w:rPr>
            </w:pPr>
            <w:r>
              <w:rPr>
                <w:rFonts w:hint="eastAsia" w:ascii="Times New Roman" w:hAnsi="Times New Roman" w:cs="Times New Roman"/>
                <w:color w:val="auto"/>
              </w:rPr>
              <w:t>完善基础设施建设。</w:t>
            </w:r>
          </w:p>
        </w:tc>
        <w:tc>
          <w:tcPr>
            <w:tcW w:w="3178" w:type="dxa"/>
            <w:vAlign w:val="center"/>
          </w:tcPr>
          <w:p w14:paraId="0A32BBF8">
            <w:pPr>
              <w:pStyle w:val="7"/>
              <w:widowControl w:val="0"/>
              <w:kinsoku/>
              <w:autoSpaceDE/>
              <w:autoSpaceDN/>
              <w:jc w:val="both"/>
              <w:textAlignment w:val="auto"/>
              <w:rPr>
                <w:rFonts w:ascii="Times New Roman" w:hAnsi="Times New Roman" w:cs="Times New Roman"/>
                <w:color w:val="auto"/>
              </w:rPr>
            </w:pPr>
            <w:r>
              <w:rPr>
                <w:rFonts w:hint="eastAsia" w:ascii="Times New Roman" w:hAnsi="Times New Roman" w:cs="Times New Roman"/>
                <w:color w:val="auto"/>
              </w:rPr>
              <w:t>按照年度项目清单，完善包括传统建筑保护利用、防火安全、基础设施和环境改善、风貌不协调建筑整治、景观设施建设、产业发展等模块建设。</w:t>
            </w:r>
          </w:p>
        </w:tc>
        <w:tc>
          <w:tcPr>
            <w:tcW w:w="2989" w:type="dxa"/>
            <w:vAlign w:val="center"/>
          </w:tcPr>
          <w:p w14:paraId="62A56633">
            <w:pPr>
              <w:pStyle w:val="7"/>
              <w:widowControl w:val="0"/>
              <w:kinsoku/>
              <w:autoSpaceDE/>
              <w:autoSpaceDN/>
              <w:ind w:left="15" w:right="213"/>
              <w:jc w:val="both"/>
              <w:textAlignment w:val="auto"/>
              <w:rPr>
                <w:rFonts w:ascii="Times New Roman" w:hAnsi="Times New Roman" w:cs="Times New Roman"/>
                <w:color w:val="auto"/>
              </w:rPr>
            </w:pPr>
            <w:r>
              <w:rPr>
                <w:rFonts w:hint="eastAsia" w:ascii="Times New Roman" w:hAnsi="Times New Roman" w:cs="Times New Roman"/>
                <w:color w:val="auto"/>
              </w:rPr>
              <w:t>继续完善基础设施及公共服务设施，形成长效管理机制。</w:t>
            </w:r>
          </w:p>
        </w:tc>
        <w:tc>
          <w:tcPr>
            <w:tcW w:w="3136" w:type="dxa"/>
            <w:vAlign w:val="center"/>
          </w:tcPr>
          <w:p w14:paraId="0D2E09CC">
            <w:pPr>
              <w:pStyle w:val="7"/>
              <w:widowControl w:val="0"/>
              <w:kinsoku/>
              <w:autoSpaceDE/>
              <w:autoSpaceDN/>
              <w:ind w:left="17" w:right="160"/>
              <w:jc w:val="both"/>
              <w:textAlignment w:val="auto"/>
              <w:rPr>
                <w:rFonts w:ascii="Times New Roman" w:hAnsi="Times New Roman" w:cs="Times New Roman"/>
                <w:color w:val="auto"/>
              </w:rPr>
            </w:pPr>
            <w:r>
              <w:rPr>
                <w:rFonts w:hint="eastAsia" w:ascii="Times New Roman" w:hAnsi="Times New Roman" w:cs="Times New Roman"/>
                <w:color w:val="auto"/>
              </w:rPr>
              <w:t>形成比较完善、运转正常的基础设施及公共服务设施系统，对保护提升的多个模块具体落实到位。</w:t>
            </w:r>
          </w:p>
        </w:tc>
      </w:tr>
      <w:tr w14:paraId="38A4D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2" w:hRule="atLeast"/>
          <w:jc w:val="center"/>
        </w:trPr>
        <w:tc>
          <w:tcPr>
            <w:tcW w:w="606" w:type="dxa"/>
            <w:vAlign w:val="center"/>
          </w:tcPr>
          <w:p w14:paraId="689481B4">
            <w:pPr>
              <w:pStyle w:val="7"/>
              <w:widowControl w:val="0"/>
              <w:kinsoku/>
              <w:autoSpaceDE/>
              <w:autoSpaceDN/>
              <w:ind w:left="164"/>
              <w:jc w:val="both"/>
              <w:textAlignment w:val="auto"/>
              <w:rPr>
                <w:rFonts w:ascii="Times New Roman" w:hAnsi="Times New Roman" w:cs="Times New Roman"/>
                <w:color w:val="auto"/>
              </w:rPr>
            </w:pPr>
            <w:r>
              <w:rPr>
                <w:rFonts w:hint="eastAsia" w:ascii="Times New Roman" w:hAnsi="Times New Roman" w:cs="Times New Roman"/>
                <w:color w:val="auto"/>
              </w:rPr>
              <w:t>八</w:t>
            </w:r>
          </w:p>
        </w:tc>
        <w:tc>
          <w:tcPr>
            <w:tcW w:w="1488" w:type="dxa"/>
            <w:vAlign w:val="center"/>
          </w:tcPr>
          <w:p w14:paraId="67D48E0E">
            <w:pPr>
              <w:pStyle w:val="7"/>
              <w:widowControl w:val="0"/>
              <w:kinsoku/>
              <w:autoSpaceDE/>
              <w:autoSpaceDN/>
              <w:jc w:val="both"/>
              <w:textAlignment w:val="auto"/>
              <w:rPr>
                <w:rFonts w:ascii="Times New Roman" w:hAnsi="Times New Roman" w:cs="Times New Roman"/>
                <w:color w:val="auto"/>
              </w:rPr>
            </w:pPr>
            <w:r>
              <w:rPr>
                <w:rFonts w:hint="eastAsia" w:ascii="Times New Roman" w:hAnsi="Times New Roman" w:cs="Times New Roman"/>
                <w:color w:val="auto"/>
              </w:rPr>
              <w:t>资金使用情况</w:t>
            </w:r>
          </w:p>
        </w:tc>
        <w:tc>
          <w:tcPr>
            <w:tcW w:w="2700" w:type="dxa"/>
            <w:vAlign w:val="center"/>
          </w:tcPr>
          <w:p w14:paraId="16001F5D">
            <w:pPr>
              <w:pStyle w:val="7"/>
              <w:widowControl w:val="0"/>
              <w:kinsoku/>
              <w:autoSpaceDE/>
              <w:autoSpaceDN/>
              <w:ind w:left="11"/>
              <w:jc w:val="both"/>
              <w:textAlignment w:val="auto"/>
              <w:rPr>
                <w:rFonts w:ascii="Times New Roman" w:hAnsi="Times New Roman" w:cs="Times New Roman"/>
                <w:color w:val="auto"/>
              </w:rPr>
            </w:pPr>
            <w:r>
              <w:rPr>
                <w:rFonts w:hint="eastAsia" w:ascii="Times New Roman" w:hAnsi="Times New Roman" w:cs="Times New Roman"/>
                <w:color w:val="auto"/>
              </w:rPr>
              <w:t>加大地方资金投入，明确资金配套使用。</w:t>
            </w:r>
          </w:p>
        </w:tc>
        <w:tc>
          <w:tcPr>
            <w:tcW w:w="3178" w:type="dxa"/>
            <w:vAlign w:val="center"/>
          </w:tcPr>
          <w:p w14:paraId="48A0C1DC">
            <w:pPr>
              <w:pStyle w:val="7"/>
              <w:widowControl w:val="0"/>
              <w:kinsoku/>
              <w:autoSpaceDE/>
              <w:autoSpaceDN/>
              <w:jc w:val="both"/>
              <w:textAlignment w:val="auto"/>
              <w:rPr>
                <w:rFonts w:ascii="Times New Roman" w:hAnsi="Times New Roman" w:cs="Times New Roman"/>
                <w:color w:val="auto"/>
              </w:rPr>
            </w:pPr>
            <w:r>
              <w:rPr>
                <w:rFonts w:hint="eastAsia" w:ascii="Times New Roman" w:hAnsi="Times New Roman" w:cs="Times New Roman"/>
                <w:color w:val="auto"/>
              </w:rPr>
              <w:t>落实省委省政府为民办实事要求，省级专项资金应及时下达、拨付并投入使用；加大地方各级配套及社会力量投入，确保完成年度投资总量。</w:t>
            </w:r>
          </w:p>
        </w:tc>
        <w:tc>
          <w:tcPr>
            <w:tcW w:w="2989" w:type="dxa"/>
            <w:vAlign w:val="center"/>
          </w:tcPr>
          <w:p w14:paraId="312CC017">
            <w:pPr>
              <w:pStyle w:val="7"/>
              <w:widowControl w:val="0"/>
              <w:kinsoku/>
              <w:autoSpaceDE/>
              <w:autoSpaceDN/>
              <w:ind w:left="115"/>
              <w:jc w:val="both"/>
              <w:textAlignment w:val="auto"/>
              <w:rPr>
                <w:rFonts w:ascii="Times New Roman" w:hAnsi="Times New Roman" w:cs="Times New Roman"/>
                <w:color w:val="auto"/>
              </w:rPr>
            </w:pPr>
            <w:r>
              <w:rPr>
                <w:rFonts w:hint="eastAsia" w:ascii="Times New Roman" w:hAnsi="Times New Roman" w:cs="Times New Roman"/>
                <w:color w:val="auto"/>
              </w:rPr>
              <w:t>继续增加用于</w:t>
            </w:r>
            <w:r>
              <w:rPr>
                <w:rFonts w:hint="eastAsia" w:ascii="Times New Roman" w:hAnsi="Times New Roman" w:cs="Times New Roman"/>
                <w:color w:val="auto"/>
                <w:lang w:eastAsia="zh-CN"/>
              </w:rPr>
              <w:t>田茶村</w:t>
            </w:r>
            <w:r>
              <w:rPr>
                <w:rFonts w:hint="eastAsia" w:ascii="Times New Roman" w:hAnsi="Times New Roman" w:cs="Times New Roman"/>
                <w:color w:val="auto"/>
              </w:rPr>
              <w:t>传统村</w:t>
            </w:r>
          </w:p>
          <w:p w14:paraId="6F702C67">
            <w:pPr>
              <w:pStyle w:val="7"/>
              <w:widowControl w:val="0"/>
              <w:kinsoku/>
              <w:autoSpaceDE/>
              <w:autoSpaceDN/>
              <w:ind w:left="15" w:right="131" w:firstLine="99"/>
              <w:jc w:val="both"/>
              <w:textAlignment w:val="auto"/>
              <w:rPr>
                <w:rFonts w:ascii="Times New Roman" w:hAnsi="Times New Roman" w:cs="Times New Roman"/>
                <w:color w:val="auto"/>
              </w:rPr>
            </w:pPr>
            <w:r>
              <w:rPr>
                <w:rFonts w:hint="eastAsia" w:ascii="Times New Roman" w:hAnsi="Times New Roman" w:cs="Times New Roman"/>
                <w:color w:val="auto"/>
              </w:rPr>
              <w:t>落保护提升方案的具体项目投入。</w:t>
            </w:r>
          </w:p>
        </w:tc>
        <w:tc>
          <w:tcPr>
            <w:tcW w:w="3136" w:type="dxa"/>
            <w:vAlign w:val="center"/>
          </w:tcPr>
          <w:p w14:paraId="4F605936">
            <w:pPr>
              <w:pStyle w:val="7"/>
              <w:widowControl w:val="0"/>
              <w:kinsoku/>
              <w:autoSpaceDE/>
              <w:autoSpaceDN/>
              <w:ind w:right="165"/>
              <w:jc w:val="both"/>
              <w:textAlignment w:val="auto"/>
              <w:rPr>
                <w:rFonts w:ascii="Times New Roman" w:hAnsi="Times New Roman" w:cs="Times New Roman"/>
                <w:color w:val="auto"/>
              </w:rPr>
            </w:pPr>
            <w:r>
              <w:rPr>
                <w:rFonts w:hint="eastAsia" w:ascii="Times New Roman" w:hAnsi="Times New Roman" w:cs="Times New Roman"/>
                <w:color w:val="auto"/>
              </w:rPr>
              <w:t>继续增加用于</w:t>
            </w:r>
            <w:r>
              <w:rPr>
                <w:rFonts w:hint="eastAsia" w:ascii="Times New Roman" w:hAnsi="Times New Roman" w:cs="Times New Roman"/>
                <w:color w:val="auto"/>
                <w:lang w:eastAsia="zh-CN"/>
              </w:rPr>
              <w:t>田茶村</w:t>
            </w:r>
            <w:r>
              <w:rPr>
                <w:rFonts w:hint="eastAsia" w:ascii="Times New Roman" w:hAnsi="Times New Roman" w:cs="Times New Roman"/>
                <w:color w:val="auto"/>
              </w:rPr>
              <w:t>传统村落保护提升方案的具体项目投入。</w:t>
            </w:r>
          </w:p>
        </w:tc>
      </w:tr>
      <w:tr w14:paraId="7B370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3" w:hRule="atLeast"/>
          <w:jc w:val="center"/>
        </w:trPr>
        <w:tc>
          <w:tcPr>
            <w:tcW w:w="606" w:type="dxa"/>
            <w:vAlign w:val="center"/>
          </w:tcPr>
          <w:p w14:paraId="33608F06">
            <w:pPr>
              <w:pStyle w:val="7"/>
              <w:widowControl w:val="0"/>
              <w:kinsoku/>
              <w:autoSpaceDE/>
              <w:autoSpaceDN/>
              <w:ind w:left="164"/>
              <w:jc w:val="both"/>
              <w:textAlignment w:val="auto"/>
              <w:rPr>
                <w:rFonts w:ascii="Times New Roman" w:hAnsi="Times New Roman" w:cs="Times New Roman"/>
                <w:color w:val="auto"/>
              </w:rPr>
            </w:pPr>
            <w:r>
              <w:rPr>
                <w:rFonts w:hint="eastAsia" w:ascii="Times New Roman" w:hAnsi="Times New Roman" w:cs="Times New Roman"/>
                <w:color w:val="auto"/>
              </w:rPr>
              <w:t>九</w:t>
            </w:r>
          </w:p>
        </w:tc>
        <w:tc>
          <w:tcPr>
            <w:tcW w:w="1488" w:type="dxa"/>
            <w:vAlign w:val="center"/>
          </w:tcPr>
          <w:p w14:paraId="75904519">
            <w:pPr>
              <w:pStyle w:val="7"/>
              <w:widowControl w:val="0"/>
              <w:kinsoku/>
              <w:autoSpaceDE/>
              <w:autoSpaceDN/>
              <w:ind w:left="10" w:right="126"/>
              <w:jc w:val="both"/>
              <w:textAlignment w:val="auto"/>
              <w:rPr>
                <w:rFonts w:ascii="Times New Roman" w:hAnsi="Times New Roman" w:cs="Times New Roman"/>
                <w:color w:val="auto"/>
              </w:rPr>
            </w:pPr>
            <w:r>
              <w:rPr>
                <w:rFonts w:hint="eastAsia" w:ascii="Times New Roman" w:hAnsi="Times New Roman" w:cs="Times New Roman"/>
                <w:color w:val="auto"/>
              </w:rPr>
              <w:t>长效机制健全情况</w:t>
            </w:r>
          </w:p>
        </w:tc>
        <w:tc>
          <w:tcPr>
            <w:tcW w:w="2700" w:type="dxa"/>
            <w:vAlign w:val="center"/>
          </w:tcPr>
          <w:p w14:paraId="205EC964">
            <w:pPr>
              <w:pStyle w:val="7"/>
              <w:widowControl w:val="0"/>
              <w:kinsoku/>
              <w:autoSpaceDE/>
              <w:autoSpaceDN/>
              <w:ind w:left="11" w:right="195"/>
              <w:jc w:val="both"/>
              <w:textAlignment w:val="auto"/>
              <w:rPr>
                <w:rFonts w:ascii="Times New Roman" w:hAnsi="Times New Roman" w:cs="Times New Roman"/>
                <w:color w:val="auto"/>
              </w:rPr>
            </w:pPr>
            <w:r>
              <w:rPr>
                <w:rFonts w:hint="eastAsia" w:ascii="Times New Roman" w:hAnsi="Times New Roman" w:cs="Times New Roman"/>
                <w:color w:val="auto"/>
              </w:rPr>
              <w:t>建立健全传统村落改善提升保护长效机制。</w:t>
            </w:r>
          </w:p>
        </w:tc>
        <w:tc>
          <w:tcPr>
            <w:tcW w:w="3178" w:type="dxa"/>
            <w:vAlign w:val="center"/>
          </w:tcPr>
          <w:p w14:paraId="23A9D7DB">
            <w:pPr>
              <w:pStyle w:val="7"/>
              <w:widowControl w:val="0"/>
              <w:kinsoku/>
              <w:autoSpaceDE/>
              <w:autoSpaceDN/>
              <w:jc w:val="both"/>
              <w:textAlignment w:val="auto"/>
              <w:rPr>
                <w:rFonts w:ascii="Times New Roman" w:hAnsi="Times New Roman" w:cs="Times New Roman"/>
                <w:color w:val="auto"/>
              </w:rPr>
            </w:pPr>
            <w:r>
              <w:rPr>
                <w:rFonts w:hint="eastAsia" w:ascii="Times New Roman" w:hAnsi="Times New Roman" w:cs="Times New Roman"/>
                <w:color w:val="auto"/>
              </w:rPr>
              <w:t>建立健全改善提升传统村落保护发展工作协调机制，有计划、分步骤、分区域实施，设立专门的管理机构或队伍，引导村民、乡贤参与成立保护理事会，积极参与到传统村落保护中。</w:t>
            </w:r>
          </w:p>
        </w:tc>
        <w:tc>
          <w:tcPr>
            <w:tcW w:w="2989" w:type="dxa"/>
            <w:vAlign w:val="center"/>
          </w:tcPr>
          <w:p w14:paraId="70B945D2">
            <w:pPr>
              <w:pStyle w:val="7"/>
              <w:widowControl w:val="0"/>
              <w:kinsoku/>
              <w:autoSpaceDE/>
              <w:autoSpaceDN/>
              <w:ind w:right="29"/>
              <w:jc w:val="both"/>
              <w:textAlignment w:val="auto"/>
              <w:rPr>
                <w:rFonts w:ascii="Times New Roman" w:hAnsi="Times New Roman" w:cs="Times New Roman"/>
                <w:color w:val="auto"/>
              </w:rPr>
            </w:pPr>
            <w:r>
              <w:rPr>
                <w:rFonts w:hint="eastAsia" w:ascii="Times New Roman" w:hAnsi="Times New Roman" w:cs="Times New Roman"/>
                <w:color w:val="auto"/>
              </w:rPr>
              <w:t>推进制度实施，达到历史建筑保护、基础设施维护、环境卫生管护等制度常态化运行。</w:t>
            </w:r>
          </w:p>
        </w:tc>
        <w:tc>
          <w:tcPr>
            <w:tcW w:w="3136" w:type="dxa"/>
            <w:vAlign w:val="center"/>
          </w:tcPr>
          <w:p w14:paraId="32F1D18A">
            <w:pPr>
              <w:pStyle w:val="7"/>
              <w:widowControl w:val="0"/>
              <w:kinsoku/>
              <w:autoSpaceDE/>
              <w:autoSpaceDN/>
              <w:jc w:val="both"/>
              <w:textAlignment w:val="auto"/>
              <w:rPr>
                <w:rFonts w:ascii="Times New Roman" w:hAnsi="Times New Roman" w:cs="Times New Roman"/>
                <w:color w:val="auto"/>
              </w:rPr>
            </w:pPr>
            <w:r>
              <w:rPr>
                <w:rFonts w:hint="eastAsia" w:ascii="Times New Roman" w:hAnsi="Times New Roman" w:cs="Times New Roman"/>
                <w:color w:val="auto"/>
              </w:rPr>
              <w:t>进一步建立健全长效机制，鼓励机制创新，形成村民主体、共同缔造、常态化运行的良好局面。</w:t>
            </w:r>
          </w:p>
        </w:tc>
      </w:tr>
    </w:tbl>
    <w:p w14:paraId="5C4BE270"/>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23104C"/>
    <w:rsid w:val="352310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宋体" w:cs="Arial"/>
      <w:color w:val="000000"/>
      <w:kern w:val="0"/>
      <w:sz w:val="21"/>
      <w:szCs w:val="21"/>
      <w:lang w:val="en-US" w:eastAsia="en-US"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99"/>
  </w:style>
  <w:style w:type="paragraph" w:styleId="3">
    <w:name w:val="footer"/>
    <w:basedOn w:val="1"/>
    <w:qFormat/>
    <w:uiPriority w:val="99"/>
    <w:pPr>
      <w:tabs>
        <w:tab w:val="center" w:pos="4153"/>
        <w:tab w:val="right" w:pos="8306"/>
      </w:tabs>
    </w:pPr>
    <w:rPr>
      <w:sz w:val="18"/>
    </w:rPr>
  </w:style>
  <w:style w:type="character" w:styleId="6">
    <w:name w:val="page number"/>
    <w:basedOn w:val="5"/>
    <w:qFormat/>
    <w:uiPriority w:val="99"/>
    <w:rPr>
      <w:rFonts w:cs="Times New Roman"/>
    </w:rPr>
  </w:style>
  <w:style w:type="paragraph" w:customStyle="1" w:styleId="7">
    <w:name w:val="Table Text"/>
    <w:basedOn w:val="1"/>
    <w:semiHidden/>
    <w:qFormat/>
    <w:uiPriority w:val="99"/>
    <w:rPr>
      <w:rFonts w:ascii="宋体" w:hAnsi="宋体" w:cs="宋体"/>
      <w:sz w:val="19"/>
      <w:szCs w:val="19"/>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2024-11-21T01:48:00Z</dcterms:created>
  <dc:creator>WPS_1514189070</dc:creator>
  <cp:lastModifiedBy>WPS_1514189070</cp:lastModifiedBy>
  <dcterms:modified xsi:type="dcterms:W3CDTF">2024-11-21T01:50:06Z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3B1399D571894D9C82C1B0BD58E1A893_11</vt:lpwstr>
  </property>
</Properties>
</file>