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2032" w:tblpY="24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650"/>
        <w:gridCol w:w="2730"/>
        <w:gridCol w:w="3262"/>
      </w:tblGrid>
      <w:tr w14:paraId="4BAD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nil"/>
              <w:left w:val="nil"/>
              <w:right w:val="nil"/>
            </w:tcBorders>
          </w:tcPr>
          <w:p w14:paraId="35ACA82C">
            <w:pPr>
              <w:jc w:val="center"/>
              <w:rPr>
                <w:rFonts w:hint="default" w:ascii="Times New Roman" w:hAnsi="Times New Roman" w:eastAsia="仿宋_GB2312" w:cs="Times New Roman"/>
                <w:sz w:val="32"/>
                <w:szCs w:val="32"/>
                <w:vertAlign w:val="baseline"/>
                <w:lang w:eastAsia="zh-CN"/>
              </w:rPr>
            </w:pPr>
            <w:bookmarkStart w:id="0" w:name="_GoBack"/>
            <w:r>
              <w:rPr>
                <w:rFonts w:hint="eastAsia" w:ascii="方正小标宋简体" w:hAnsi="方正小标宋简体" w:eastAsia="方正小标宋简体" w:cs="方正小标宋简体"/>
                <w:sz w:val="44"/>
                <w:szCs w:val="44"/>
                <w:vertAlign w:val="baseline"/>
                <w:lang w:eastAsia="zh-CN"/>
              </w:rPr>
              <w:t>连城县政府性基金目录清单</w:t>
            </w:r>
            <w:bookmarkEnd w:id="0"/>
          </w:p>
        </w:tc>
      </w:tr>
      <w:tr w14:paraId="3B00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40B6153D">
            <w:pPr>
              <w:jc w:val="center"/>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lang w:eastAsia="zh-CN"/>
              </w:rPr>
              <w:t>序号</w:t>
            </w:r>
          </w:p>
        </w:tc>
        <w:tc>
          <w:tcPr>
            <w:tcW w:w="1650" w:type="dxa"/>
          </w:tcPr>
          <w:p w14:paraId="58FD9E9C">
            <w:pPr>
              <w:jc w:val="center"/>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lang w:eastAsia="zh-CN"/>
              </w:rPr>
              <w:t>项目名称</w:t>
            </w:r>
          </w:p>
        </w:tc>
        <w:tc>
          <w:tcPr>
            <w:tcW w:w="2730" w:type="dxa"/>
          </w:tcPr>
          <w:p w14:paraId="2A4014AC">
            <w:pPr>
              <w:jc w:val="center"/>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lang w:eastAsia="zh-CN"/>
              </w:rPr>
              <w:t>收费依据</w:t>
            </w:r>
          </w:p>
        </w:tc>
        <w:tc>
          <w:tcPr>
            <w:tcW w:w="3262" w:type="dxa"/>
          </w:tcPr>
          <w:p w14:paraId="0F086B9C">
            <w:pPr>
              <w:jc w:val="center"/>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lang w:eastAsia="zh-CN"/>
              </w:rPr>
              <w:t>收费标准</w:t>
            </w:r>
          </w:p>
        </w:tc>
      </w:tr>
      <w:tr w14:paraId="6BCF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54458791">
            <w:pPr>
              <w:jc w:val="center"/>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1</w:t>
            </w:r>
          </w:p>
        </w:tc>
        <w:tc>
          <w:tcPr>
            <w:tcW w:w="1650" w:type="dxa"/>
            <w:vAlign w:val="center"/>
          </w:tcPr>
          <w:p w14:paraId="74D68B5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国有土地使用权出让收入</w:t>
            </w:r>
          </w:p>
        </w:tc>
        <w:tc>
          <w:tcPr>
            <w:tcW w:w="2730" w:type="dxa"/>
          </w:tcPr>
          <w:p w14:paraId="06D4FBDC">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根据《招标拍卖挂牌出让国有建设用地使用权规定》(国土资源部令第39号)、《协议出让国有土地使用权规定》(国土资源部令第21号)、《国土资源部关于加强房地产用地供应和监管有关问题的通知》（国土资发〔2010〕34号）</w:t>
            </w:r>
          </w:p>
        </w:tc>
        <w:tc>
          <w:tcPr>
            <w:tcW w:w="3262" w:type="dxa"/>
            <w:vAlign w:val="center"/>
          </w:tcPr>
          <w:p w14:paraId="28DB2469">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招标拍卖挂牌出让底价不得低于国家规定的最低标准，同时根据《关于发布实施&lt;全国工业用地出让最低价标准&gt;的通知》（国土资发〔2006〕307号），连城县所在的土地等别为十四等，对应的工业用地出让最低价标准为84元/平方米。</w:t>
            </w:r>
          </w:p>
        </w:tc>
      </w:tr>
      <w:tr w14:paraId="3FC5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1DFDC0E3">
            <w:pPr>
              <w:jc w:val="center"/>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2</w:t>
            </w:r>
          </w:p>
        </w:tc>
        <w:tc>
          <w:tcPr>
            <w:tcW w:w="1650" w:type="dxa"/>
            <w:vAlign w:val="center"/>
          </w:tcPr>
          <w:p w14:paraId="0092448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城市污水处理费</w:t>
            </w:r>
          </w:p>
        </w:tc>
        <w:tc>
          <w:tcPr>
            <w:tcW w:w="2730" w:type="dxa"/>
          </w:tcPr>
          <w:p w14:paraId="34C1E635">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福建省人民政府关于推进城市污水处理产业化发展的暂行规定》（闽政〔2001〕31号、《连城县人民政府关于开征城市污水处理费的通告》连政〔2006〕35号、《连城县物价局关于调整连城县居民污水处理收费标准的通知》连价〔2016〕30号</w:t>
            </w:r>
          </w:p>
        </w:tc>
        <w:tc>
          <w:tcPr>
            <w:tcW w:w="3262" w:type="dxa"/>
            <w:vAlign w:val="center"/>
          </w:tcPr>
          <w:p w14:paraId="2C2E2FF9">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rPr>
              <w:t>居民生活用水和行政事业单位用水按0.85元/吨、特种行业用水按1.4元/吨、企业、餐饮、酒店、宾馆、商店等按1.2元/吨</w:t>
            </w:r>
            <w:r>
              <w:rPr>
                <w:rFonts w:hint="eastAsia" w:ascii="Times New Roman" w:hAnsi="Times New Roman" w:eastAsia="仿宋_GB2312" w:cs="Times New Roman"/>
                <w:sz w:val="32"/>
                <w:szCs w:val="32"/>
                <w:vertAlign w:val="baseline"/>
                <w:lang w:eastAsia="zh-CN"/>
              </w:rPr>
              <w:t>。</w:t>
            </w:r>
          </w:p>
        </w:tc>
      </w:tr>
      <w:tr w14:paraId="5767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518F2B20">
            <w:pPr>
              <w:jc w:val="center"/>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3</w:t>
            </w:r>
          </w:p>
        </w:tc>
        <w:tc>
          <w:tcPr>
            <w:tcW w:w="1650" w:type="dxa"/>
            <w:vAlign w:val="center"/>
          </w:tcPr>
          <w:p w14:paraId="3702F43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城镇基础设施配套费</w:t>
            </w:r>
          </w:p>
        </w:tc>
        <w:tc>
          <w:tcPr>
            <w:tcW w:w="2730" w:type="dxa"/>
          </w:tcPr>
          <w:p w14:paraId="18D9BF56">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《福建省人民政府关于印发福建省城市基础设施配套费的征收管理规定》（闽政〔2002〕53号、《连城县人民政府关于印发连城县城镇基础设施配套费征收管理规定的通知》连政综〔2015〕317号</w:t>
            </w:r>
          </w:p>
        </w:tc>
        <w:tc>
          <w:tcPr>
            <w:tcW w:w="3262" w:type="dxa"/>
            <w:vAlign w:val="center"/>
          </w:tcPr>
          <w:p w14:paraId="4E544381">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sz w:val="32"/>
                <w:szCs w:val="32"/>
                <w:vertAlign w:val="baseline"/>
              </w:rPr>
              <w:t>住宅5-45元/平方米、商业10-45元/平方米、工业与仓储3-25元/平方米</w:t>
            </w:r>
            <w:r>
              <w:rPr>
                <w:rFonts w:hint="eastAsia" w:ascii="Times New Roman" w:hAnsi="Times New Roman" w:eastAsia="仿宋_GB2312" w:cs="Times New Roman"/>
                <w:sz w:val="32"/>
                <w:szCs w:val="32"/>
                <w:vertAlign w:val="baseline"/>
                <w:lang w:eastAsia="zh-CN"/>
              </w:rPr>
              <w:t>。</w:t>
            </w:r>
          </w:p>
        </w:tc>
      </w:tr>
    </w:tbl>
    <w:p w14:paraId="3537A39C">
      <w:pPr>
        <w:jc w:val="both"/>
        <w:rPr>
          <w:rFonts w:hint="eastAsia" w:ascii="方正小标宋简体" w:hAnsi="方正小标宋简体" w:eastAsia="方正小标宋简体" w:cs="方正小标宋简体"/>
          <w:sz w:val="44"/>
          <w:szCs w:val="44"/>
          <w:lang w:val="en-US" w:eastAsia="zh-CN"/>
        </w:rPr>
      </w:pPr>
    </w:p>
    <w:sectPr>
      <w:pgSz w:w="11906" w:h="16838"/>
      <w:pgMar w:top="1701" w:right="1531" w:bottom="1701" w:left="1531" w:header="851" w:footer="992" w:gutter="0"/>
      <w:paperSrc/>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0A6E3A"/>
    <w:rsid w:val="27FD02F5"/>
    <w:rsid w:val="4DA97FE8"/>
    <w:rsid w:val="692E614F"/>
    <w:rsid w:val="6F286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2025-12-03T03:39:55Z</dcterms:created>
  <dc:creator>Administrator</dc:creator>
  <cp:lastModifiedBy>＂薄荷糖的味道 ℃</cp:lastModifiedBy>
  <dcterms:modified xsi:type="dcterms:W3CDTF">2025-12-03T03:54:40Z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eyJoZGlkIjoiNGJlNjY5ZjliMGY4ZWM2OGE4N2U2ZWJhZGFmZTUwODUiLCJ1c2VySWQiOiIzMjQyMzUxODQifQ==</vt:lpwstr>
  </property>
  <property fmtid="{D5CDD505-2E9C-101B-9397-08002B2CF9AE}" pid="4" name="ICV">
    <vt:lpwstr>C4D57C0BB18941C0B8911BC8BBDDE2EA_12</vt:lpwstr>
  </property>
</Properties>
</file>