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0"/>
        <w:jc w:val="center"/>
        <w:rPr>
          <w:rFonts w:ascii="微软雅黑" w:hAnsi="微软雅黑" w:eastAsia="微软雅黑" w:cs="微软雅黑"/>
          <w:b/>
          <w:bCs/>
          <w:i w:val="0"/>
          <w:iCs w:val="0"/>
          <w:caps w:val="0"/>
          <w:color w:val="F32B00"/>
          <w:spacing w:val="0"/>
          <w:sz w:val="48"/>
          <w:szCs w:val="48"/>
        </w:rPr>
      </w:pPr>
      <w:r>
        <w:rPr>
          <w:rFonts w:hint="eastAsia" w:ascii="微软雅黑" w:hAnsi="微软雅黑" w:eastAsia="微软雅黑" w:cs="微软雅黑"/>
          <w:b/>
          <w:bCs/>
          <w:i w:val="0"/>
          <w:iCs w:val="0"/>
          <w:caps w:val="0"/>
          <w:color w:val="F32B00"/>
          <w:spacing w:val="0"/>
          <w:sz w:val="48"/>
          <w:szCs w:val="48"/>
          <w:shd w:val="clear" w:color="auto" w:fill="FFFFFF"/>
        </w:rPr>
        <w:t>福建省人民政府关于印发福建省城市基础设施</w:t>
      </w:r>
      <w:r>
        <w:rPr>
          <w:rFonts w:hint="eastAsia" w:ascii="微软雅黑" w:hAnsi="微软雅黑" w:eastAsia="微软雅黑" w:cs="微软雅黑"/>
          <w:b/>
          <w:bCs/>
          <w:i w:val="0"/>
          <w:iCs w:val="0"/>
          <w:caps w:val="0"/>
          <w:color w:val="F32B00"/>
          <w:spacing w:val="0"/>
          <w:sz w:val="48"/>
          <w:szCs w:val="48"/>
          <w:shd w:val="clear" w:color="auto" w:fill="FFFFFF"/>
        </w:rPr>
        <w:br w:type="textWrapping"/>
      </w:r>
      <w:r>
        <w:rPr>
          <w:rFonts w:hint="eastAsia" w:ascii="微软雅黑" w:hAnsi="微软雅黑" w:eastAsia="微软雅黑" w:cs="微软雅黑"/>
          <w:b/>
          <w:bCs/>
          <w:i w:val="0"/>
          <w:iCs w:val="0"/>
          <w:caps w:val="0"/>
          <w:color w:val="F32B00"/>
          <w:spacing w:val="0"/>
          <w:sz w:val="48"/>
          <w:szCs w:val="48"/>
          <w:shd w:val="clear" w:color="auto" w:fill="FFFFFF"/>
        </w:rPr>
        <w:t>配套费征收管理规定的通知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rPr>
      </w:pPr>
      <w:r>
        <w:rPr>
          <w:rFonts w:hint="eastAsia" w:ascii="微软雅黑" w:hAnsi="微软雅黑" w:eastAsia="微软雅黑" w:cs="微软雅黑"/>
          <w:i w:val="0"/>
          <w:iCs w:val="0"/>
          <w:caps w:val="0"/>
          <w:color w:val="F32B00"/>
          <w:spacing w:val="0"/>
          <w:sz w:val="30"/>
          <w:szCs w:val="30"/>
          <w:shd w:val="clear" w:color="auto" w:fill="FFFFFF"/>
        </w:rPr>
        <w:t>闽政[2002]53号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各市、县(区)人民政府，省政府各部门、各直属机构，各大企业，各高等院校：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　　省物价局、财政厅制定的《福建省城市基础设施配套费征收管理规定》已经省人民政府研究同意，现印发给你们，请遵照执行。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jc w:val="right"/>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福 建 省 人 民 政 府</w:t>
      </w:r>
      <w:r>
        <w:rPr>
          <w:rFonts w:hint="eastAsia" w:ascii="宋体" w:hAnsi="宋体" w:eastAsia="宋体" w:cs="宋体"/>
          <w:i w:val="0"/>
          <w:iCs w:val="0"/>
          <w:caps w:val="0"/>
          <w:color w:val="333333"/>
          <w:spacing w:val="0"/>
          <w:sz w:val="28"/>
          <w:szCs w:val="28"/>
          <w:shd w:val="clear" w:color="auto" w:fill="FFFFFF"/>
        </w:rPr>
        <w:br w:type="textWrapping"/>
      </w:r>
      <w:r>
        <w:rPr>
          <w:rFonts w:hint="eastAsia" w:ascii="宋体" w:hAnsi="宋体" w:eastAsia="宋体" w:cs="宋体"/>
          <w:i w:val="0"/>
          <w:iCs w:val="0"/>
          <w:caps w:val="0"/>
          <w:color w:val="333333"/>
          <w:spacing w:val="0"/>
          <w:sz w:val="28"/>
          <w:szCs w:val="28"/>
          <w:shd w:val="clear" w:color="auto" w:fill="FFFFFF"/>
        </w:rPr>
        <w:t>二○○二年十二月二十七日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jc w:val="center"/>
        <w:textAlignment w:val="auto"/>
        <w:rPr>
          <w:rFonts w:hint="eastAsia" w:ascii="宋体" w:hAnsi="宋体" w:eastAsia="宋体" w:cs="宋体"/>
          <w:i w:val="0"/>
          <w:iCs w:val="0"/>
          <w:caps w:val="0"/>
          <w:color w:val="333333"/>
          <w:spacing w:val="0"/>
          <w:sz w:val="28"/>
          <w:szCs w:val="28"/>
        </w:rPr>
      </w:pPr>
      <w:r>
        <w:rPr>
          <w:rStyle w:val="8"/>
          <w:rFonts w:hint="eastAsia" w:ascii="宋体" w:hAnsi="宋体" w:eastAsia="宋体" w:cs="宋体"/>
          <w:i w:val="0"/>
          <w:iCs w:val="0"/>
          <w:caps w:val="0"/>
          <w:color w:val="00008B"/>
          <w:spacing w:val="0"/>
          <w:sz w:val="28"/>
          <w:szCs w:val="28"/>
          <w:shd w:val="clear" w:color="auto" w:fill="FFFFFF"/>
        </w:rPr>
        <w:t>福建省城市基础设施配套费征收管理规定</w:t>
      </w:r>
      <w:r>
        <w:rPr>
          <w:rStyle w:val="8"/>
          <w:rFonts w:hint="eastAsia" w:ascii="宋体" w:hAnsi="宋体" w:eastAsia="宋体" w:cs="宋体"/>
          <w:i w:val="0"/>
          <w:iCs w:val="0"/>
          <w:caps w:val="0"/>
          <w:color w:val="333333"/>
          <w:spacing w:val="0"/>
          <w:sz w:val="28"/>
          <w:szCs w:val="28"/>
          <w:shd w:val="clear" w:color="auto" w:fill="FFFFFF"/>
        </w:rPr>
        <w:br w:type="textWrapping"/>
      </w:r>
      <w:r>
        <w:rPr>
          <w:rStyle w:val="8"/>
          <w:rFonts w:hint="eastAsia" w:ascii="宋体" w:hAnsi="宋体" w:eastAsia="宋体" w:cs="宋体"/>
          <w:i w:val="0"/>
          <w:iCs w:val="0"/>
          <w:caps w:val="0"/>
          <w:color w:val="333333"/>
          <w:spacing w:val="0"/>
          <w:sz w:val="28"/>
          <w:szCs w:val="28"/>
          <w:shd w:val="clear" w:color="auto" w:fill="FFFFFF"/>
        </w:rPr>
        <w:t>省物价局　省财政厅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40"/>
          <w:szCs w:val="40"/>
          <w:shd w:val="clear" w:color="auto" w:fill="FFFFFF"/>
        </w:rPr>
        <w:t>　　</w:t>
      </w:r>
      <w:r>
        <w:rPr>
          <w:rFonts w:hint="eastAsia" w:ascii="宋体" w:hAnsi="宋体" w:eastAsia="宋体" w:cs="宋体"/>
          <w:i w:val="0"/>
          <w:iCs w:val="0"/>
          <w:caps w:val="0"/>
          <w:color w:val="333333"/>
          <w:spacing w:val="0"/>
          <w:sz w:val="24"/>
          <w:szCs w:val="24"/>
          <w:shd w:val="clear" w:color="auto" w:fill="FFFFFF"/>
        </w:rPr>
        <w:t>为了进一步规范城市基础设施配套费的征收管理，促进我省城市基础设施建设，根据《国家计委、财政部关于全面整顿住房建设收费取消部分收费项目的通知》（计价格〔2001〕585号）和《福建省人民政府贯彻国家计委、财政部关于全面整顿住房建设收费取消部分收费项目的通知》（闽政文〔2001〕158号）精神，现对我省城市基础设施配套费征收管理重新规定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一、凡在我省城市（含县城、建制镇）规划区范围内进行各类工程建设（包括新建、扩建和改建）的单位和个人，均应按本规定缴交城市基础设施配套费（以下简称“配套费”）。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二、配套费主要用于建设项目以外的市政公用配套设施，包括城市主次干道、给排水、供电、供气、路灯、公共交通、环境卫生和园林绿化等项目的建设和维护，是市政基础设施建设资金的补充，与各项城市建设资金统筹安排使用。城市基础设施配套费由城市建设行政主管部门会同财政部门编制年度资金使用计划，报当地人民政府批准实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三、新建项目的配套费按建设工程规划许可证核准的建筑面积征收；扩建、改建项目的配套费按新增建筑面积征收。对于容积率小于1的建设项目，配套费按容积率为1的建筑面积征收；容积率大于4的建设项目，配套费按容积率为4的建筑面积征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四、配套费应一次性缴纳，由市、县、镇建设部门负责收取。建设单位和个人凭缴纳配套费的收据到规划部门办理建设工程规划许可证或建筑工程施工许可证。对以招标、拍卖、挂牌交易方式出让土地的建设项目，土地出让价格中已包含配套费的，配套费的具体额度按照容积率折算成建筑面积，结合征收标准测算。土地出让后，应将配套费转入财政专户，专款用于城市市政基础设施建设。实际容积率超过拍卖时确定额度的部分，应按规定补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五、配套费免征、减征范围：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一）军事设施（含武警部队设施）、市政公用设施（含城市停车场建设项目）、单建式人防工程、经济适用住房、廉租住房建设项目以及经县（市）政府确认或批准的由社会各界捐建的学校、图书馆、孤儿院、养老院等社会公益事业建设项目免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二）学校、医疗机构、科研等单位以及中央、省属单位和外地驻当地政府机构兴办的非经营性建设项目（不含住宅）、残疾人非经营性福利事业建设项目、经省科技行政主管部门认定的国家和省确定扶持的高新技术建设项目以及行政机关办公楼建设项目减半征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六、配套费免征、减征由建设工程所在地的市、县建设行政主管部门审核后，报市、县人民政府审批。</w:t>
      </w:r>
      <w:r>
        <w:rPr>
          <w:rFonts w:hint="eastAsia" w:ascii="宋体" w:hAnsi="宋体" w:eastAsia="宋体" w:cs="宋体"/>
          <w:i w:val="0"/>
          <w:iCs w:val="0"/>
          <w:caps w:val="0"/>
          <w:color w:val="333333"/>
          <w:spacing w:val="0"/>
          <w:sz w:val="24"/>
          <w:szCs w:val="24"/>
          <w:shd w:val="clear" w:color="auto" w:fill="FFFFFF"/>
        </w:rPr>
        <w:br w:type="textWrapping"/>
      </w:r>
      <w:r>
        <w:rPr>
          <w:rFonts w:hint="eastAsia" w:ascii="宋体" w:hAnsi="宋体" w:eastAsia="宋体" w:cs="宋体"/>
          <w:i w:val="0"/>
          <w:iCs w:val="0"/>
          <w:caps w:val="0"/>
          <w:color w:val="333333"/>
          <w:spacing w:val="0"/>
          <w:sz w:val="24"/>
          <w:szCs w:val="24"/>
          <w:shd w:val="clear" w:color="auto" w:fill="FFFFFF"/>
        </w:rPr>
        <w:t>除上述减免范围外，任何单位和个人均不得随意减免配套费。免征、减征配套费的建设工程需要改变使用性质的，应办理报批手续，并按规定补交配套费。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七、配套费的征收标准详见附表。本规定的收费标准为最高收费标准，各市、县政府价格主管部门应会同财政主管部门根据城市土地类别在省规定的范围内，制定本市、县具体收费标准，报市、县人民政府批准，并报省物价局、省财政厅备案后执行。确需突破上限标准的应报省物价局、省财政厅审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八、城市土地类别划分：一类区为城市建成区比较繁华的地段；二类区为城市建成区的一般地段；三类区为城市建成区的外缘地区或城市规划区范围内的近郊地区。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各市、县、镇人民政府可根据上述土地类别的划分原则，结合本市、县、镇的实际情况，进一步明确划分土地类别界限范围，原则上土地类别划分应定期界定公布。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九、收费单位必须到当地政府价格主管部门领取《收费许可证》，实行亮证收费，使用省财政部门统一印制或监制的《福建省行政性收费统一票据》，所收资金按现行预算外资金管理有关规定缴存同级财政专户，实行“收支两条线”管理，专项用于城市基础设施建设，不实行上交提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十、城市规划行政主管部门向未按规定办理配套费缴纳手续的建设单位和个人核发建设工程规划许可证或建筑工程施工许可证的，由上级行政主管部门或同级人民政府责令改正，并追究有关责任人的责任。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十一、本规定颁布实施后，各地人民政府或有关部门出台的与城市基础设施配套建设有关的水、电、煤气等专项配套费，一律停止征收。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十二、各级政府价格、财政主管部门应加强对配套费收支执行情况的监督检查，对擅自设立收费项目、提高收费标准、扩大收费范围以及违反专款专用规定的行为要依照有关规定予以严肃查处。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十三、本规定自下发之日起执行，省政府闽政〔1989〕34号文以及以往制发有关城市基础设施配套费的规定与本规定不一致的同时废止。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本规定城市基础设施配套费的收费标准试行一年，试行期满后，由省物价局会同省财政厅重新核定或调整。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240" w:beforeAutospacing="0" w:after="0" w:afterAutospacing="0" w:line="24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br w:type="textWrapping"/>
      </w:r>
      <w:r>
        <w:rPr>
          <w:rFonts w:hint="eastAsia" w:ascii="宋体" w:hAnsi="宋体" w:eastAsia="宋体" w:cs="宋体"/>
          <w:i w:val="0"/>
          <w:iCs w:val="0"/>
          <w:caps w:val="0"/>
          <w:color w:val="333333"/>
          <w:spacing w:val="0"/>
          <w:sz w:val="24"/>
          <w:szCs w:val="24"/>
          <w:shd w:val="clear" w:color="auto" w:fill="FFFFFF"/>
        </w:rPr>
        <w:t>附表：福建省城市基础设施配套费征收标准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宋体" w:hAnsi="宋体" w:eastAsia="宋体" w:cs="宋体"/>
          <w:i w:val="0"/>
          <w:iCs w:val="0"/>
          <w:caps w:val="0"/>
          <w:color w:val="333333"/>
          <w:spacing w:val="0"/>
          <w:sz w:val="24"/>
          <w:szCs w:val="24"/>
        </w:rPr>
      </w:pPr>
      <w:r>
        <w:rPr>
          <w:rStyle w:val="8"/>
          <w:rFonts w:hint="eastAsia" w:ascii="宋体" w:hAnsi="宋体" w:eastAsia="宋体" w:cs="宋体"/>
          <w:i w:val="0"/>
          <w:iCs w:val="0"/>
          <w:caps w:val="0"/>
          <w:color w:val="00008B"/>
          <w:spacing w:val="0"/>
          <w:kern w:val="0"/>
          <w:sz w:val="24"/>
          <w:szCs w:val="24"/>
          <w:shd w:val="clear" w:color="auto" w:fill="FFFFFF"/>
          <w:lang w:val="en-US" w:eastAsia="zh-CN" w:bidi="ar"/>
        </w:rPr>
        <w:t>福建省城市基础设施配套费征收标准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color="auto" w:fill="FFFFFF"/>
          <w:lang w:val="en-US" w:eastAsia="zh-CN" w:bidi="ar"/>
        </w:rPr>
        <w:t>单位：元/平方米</w:t>
      </w:r>
    </w:p>
    <w:tbl>
      <w:tblPr>
        <w:tblStyle w:val="6"/>
        <w:tblW w:w="9228"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autofit"/>
        <w:tblCellMar>
          <w:top w:w="0" w:type="dxa"/>
          <w:left w:w="0" w:type="dxa"/>
          <w:bottom w:w="0" w:type="dxa"/>
          <w:right w:w="0" w:type="dxa"/>
        </w:tblCellMar>
      </w:tblPr>
      <w:tblGrid>
        <w:gridCol w:w="2868"/>
        <w:gridCol w:w="720"/>
        <w:gridCol w:w="720"/>
        <w:gridCol w:w="720"/>
        <w:gridCol w:w="720"/>
        <w:gridCol w:w="720"/>
        <w:gridCol w:w="720"/>
        <w:gridCol w:w="720"/>
        <w:gridCol w:w="720"/>
        <w:gridCol w:w="60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2868" w:type="dxa"/>
            <w:vMerge w:val="restart"/>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Style w:val="8"/>
                <w:rFonts w:hint="eastAsia" w:ascii="宋体" w:hAnsi="宋体" w:eastAsia="宋体" w:cs="宋体"/>
                <w:kern w:val="0"/>
                <w:sz w:val="24"/>
                <w:szCs w:val="24"/>
                <w:lang w:val="en-US" w:eastAsia="zh-CN" w:bidi="ar"/>
              </w:rPr>
              <w:t>名</w:t>
            </w:r>
            <w:r>
              <w:rPr>
                <w:rStyle w:val="8"/>
                <w:rFonts w:ascii="宋体" w:hAnsi="宋体" w:cs="宋体"/>
                <w:kern w:val="0"/>
                <w:sz w:val="24"/>
                <w:szCs w:val="24"/>
                <w:lang w:val="en-US" w:eastAsia="zh-CN" w:bidi="ar"/>
              </w:rPr>
              <w:t>     </w:t>
            </w:r>
            <w:r>
              <w:rPr>
                <w:rStyle w:val="8"/>
                <w:rFonts w:hint="eastAsia" w:ascii="宋体" w:hAnsi="宋体" w:eastAsia="宋体" w:cs="宋体"/>
                <w:kern w:val="0"/>
                <w:sz w:val="24"/>
                <w:szCs w:val="24"/>
                <w:lang w:val="en-US" w:eastAsia="zh-CN" w:bidi="ar"/>
              </w:rPr>
              <w:t>称</w:t>
            </w:r>
          </w:p>
        </w:tc>
        <w:tc>
          <w:tcPr>
            <w:tcW w:w="2160" w:type="dxa"/>
            <w:gridSpan w:val="3"/>
            <w:tcBorders>
              <w:top w:val="single" w:color="auto" w:sz="8" w:space="0"/>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Style w:val="8"/>
                <w:rFonts w:hint="eastAsia" w:ascii="宋体" w:hAnsi="宋体" w:eastAsia="宋体" w:cs="宋体"/>
                <w:kern w:val="0"/>
                <w:sz w:val="24"/>
                <w:szCs w:val="24"/>
                <w:lang w:val="en-US" w:eastAsia="zh-CN" w:bidi="ar"/>
              </w:rPr>
              <w:t>住</w:t>
            </w:r>
            <w:r>
              <w:rPr>
                <w:rStyle w:val="8"/>
                <w:rFonts w:ascii="宋体" w:hAnsi="宋体" w:cs="宋体"/>
                <w:kern w:val="0"/>
                <w:sz w:val="24"/>
                <w:szCs w:val="24"/>
                <w:lang w:val="en-US" w:eastAsia="zh-CN" w:bidi="ar"/>
              </w:rPr>
              <w:t>    </w:t>
            </w:r>
            <w:r>
              <w:rPr>
                <w:rStyle w:val="8"/>
                <w:rFonts w:hint="eastAsia" w:ascii="宋体" w:hAnsi="宋体" w:eastAsia="宋体" w:cs="宋体"/>
                <w:kern w:val="0"/>
                <w:sz w:val="24"/>
                <w:szCs w:val="24"/>
                <w:lang w:val="en-US" w:eastAsia="zh-CN" w:bidi="ar"/>
              </w:rPr>
              <w:t>宅</w:t>
            </w:r>
          </w:p>
        </w:tc>
        <w:tc>
          <w:tcPr>
            <w:tcW w:w="2160" w:type="dxa"/>
            <w:gridSpan w:val="3"/>
            <w:tcBorders>
              <w:top w:val="single" w:color="auto" w:sz="8" w:space="0"/>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Style w:val="8"/>
                <w:rFonts w:hint="eastAsia" w:ascii="宋体" w:hAnsi="宋体" w:eastAsia="宋体" w:cs="宋体"/>
                <w:kern w:val="0"/>
                <w:sz w:val="24"/>
                <w:szCs w:val="24"/>
                <w:lang w:val="en-US" w:eastAsia="zh-CN" w:bidi="ar"/>
              </w:rPr>
              <w:t>商业（含写字楼）</w:t>
            </w:r>
          </w:p>
        </w:tc>
        <w:tc>
          <w:tcPr>
            <w:tcW w:w="2040" w:type="dxa"/>
            <w:gridSpan w:val="3"/>
            <w:tcBorders>
              <w:top w:val="single" w:color="auto" w:sz="8" w:space="0"/>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Style w:val="8"/>
                <w:rFonts w:hint="eastAsia" w:ascii="宋体" w:hAnsi="宋体" w:eastAsia="宋体" w:cs="宋体"/>
                <w:kern w:val="0"/>
                <w:sz w:val="24"/>
                <w:szCs w:val="24"/>
                <w:lang w:val="en-US" w:eastAsia="zh-CN" w:bidi="ar"/>
              </w:rPr>
              <w:t>工</w:t>
            </w:r>
            <w:r>
              <w:rPr>
                <w:rStyle w:val="8"/>
                <w:rFonts w:ascii="宋体" w:hAnsi="宋体" w:cs="宋体"/>
                <w:kern w:val="0"/>
                <w:sz w:val="24"/>
                <w:szCs w:val="24"/>
                <w:lang w:val="en-US" w:eastAsia="zh-CN" w:bidi="ar"/>
              </w:rPr>
              <w:t>    </w:t>
            </w:r>
            <w:r>
              <w:rPr>
                <w:rStyle w:val="8"/>
                <w:rFonts w:hint="eastAsia" w:ascii="宋体" w:hAnsi="宋体" w:eastAsia="宋体" w:cs="宋体"/>
                <w:kern w:val="0"/>
                <w:sz w:val="24"/>
                <w:szCs w:val="24"/>
                <w:lang w:val="en-US" w:eastAsia="zh-CN" w:bidi="ar"/>
              </w:rPr>
              <w:t>业</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2868"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sz w:val="24"/>
                <w:szCs w:val="24"/>
              </w:rPr>
            </w:pP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一类</w:t>
            </w: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二类</w:t>
            </w: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三类</w:t>
            </w: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一类</w:t>
            </w: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二类</w:t>
            </w: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三类</w:t>
            </w: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一类</w:t>
            </w:r>
          </w:p>
        </w:tc>
        <w:tc>
          <w:tcPr>
            <w:tcW w:w="72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二类</w:t>
            </w:r>
          </w:p>
        </w:tc>
        <w:tc>
          <w:tcPr>
            <w:tcW w:w="600" w:type="dxa"/>
            <w:tcBorders>
              <w:top w:val="nil"/>
              <w:left w:val="nil"/>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hint="eastAsia" w:ascii="宋体" w:hAnsi="宋体" w:eastAsia="宋体" w:cs="宋体"/>
                <w:kern w:val="0"/>
                <w:sz w:val="24"/>
                <w:szCs w:val="24"/>
                <w:lang w:val="en-US" w:eastAsia="zh-CN" w:bidi="ar"/>
              </w:rPr>
              <w:t>三类</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2868"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sz w:val="24"/>
                <w:szCs w:val="24"/>
              </w:rPr>
            </w:pPr>
            <w:r>
              <w:rPr>
                <w:rFonts w:hint="eastAsia" w:ascii="宋体" w:hAnsi="宋体" w:eastAsia="宋体" w:cs="宋体"/>
                <w:kern w:val="0"/>
                <w:sz w:val="24"/>
                <w:szCs w:val="24"/>
                <w:lang w:val="en-US" w:eastAsia="zh-CN" w:bidi="ar"/>
              </w:rPr>
              <w:t>福州市、厦门市、泉州市、漳州市</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80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60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40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110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80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50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50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30</w:t>
            </w:r>
          </w:p>
        </w:tc>
        <w:tc>
          <w:tcPr>
            <w:tcW w:w="60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2868"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sz w:val="24"/>
                <w:szCs w:val="24"/>
              </w:rPr>
            </w:pPr>
            <w:r>
              <w:rPr>
                <w:rFonts w:hint="eastAsia" w:ascii="宋体" w:hAnsi="宋体" w:eastAsia="宋体" w:cs="宋体"/>
                <w:kern w:val="0"/>
                <w:sz w:val="24"/>
                <w:szCs w:val="24"/>
                <w:lang w:val="en-US" w:eastAsia="zh-CN" w:bidi="ar"/>
              </w:rPr>
              <w:t>莆田、三明、南平、龙岩、宁德、晋江、石狮、南安、龙海、福清、长乐市</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60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40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80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60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40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25</w:t>
            </w:r>
          </w:p>
        </w:tc>
        <w:tc>
          <w:tcPr>
            <w:tcW w:w="60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2868"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sz w:val="24"/>
                <w:szCs w:val="24"/>
              </w:rPr>
            </w:pPr>
            <w:r>
              <w:rPr>
                <w:rFonts w:hint="eastAsia" w:ascii="宋体" w:hAnsi="宋体" w:eastAsia="宋体" w:cs="宋体"/>
                <w:kern w:val="0"/>
                <w:sz w:val="24"/>
                <w:szCs w:val="24"/>
                <w:lang w:val="en-US" w:eastAsia="zh-CN" w:bidi="ar"/>
              </w:rPr>
              <w:t>永安、邵武、建阳、建瓯、武夷山、漳平、福安、福鼎市</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50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60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40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20</w:t>
            </w:r>
          </w:p>
        </w:tc>
        <w:tc>
          <w:tcPr>
            <w:tcW w:w="60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2868"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sz w:val="24"/>
                <w:szCs w:val="24"/>
              </w:rPr>
            </w:pPr>
            <w:r>
              <w:rPr>
                <w:rFonts w:hint="eastAsia" w:ascii="宋体" w:hAnsi="宋体" w:eastAsia="宋体" w:cs="宋体"/>
                <w:kern w:val="0"/>
                <w:sz w:val="24"/>
                <w:szCs w:val="24"/>
                <w:lang w:val="en-US" w:eastAsia="zh-CN" w:bidi="ar"/>
              </w:rPr>
              <w:t>各县城及省政府确定的重点发展中心镇</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40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45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15</w:t>
            </w:r>
          </w:p>
        </w:tc>
        <w:tc>
          <w:tcPr>
            <w:tcW w:w="60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c>
          <w:tcPr>
            <w:tcW w:w="2868" w:type="dxa"/>
            <w:tcBorders>
              <w:top w:val="nil"/>
              <w:left w:val="single" w:color="auto" w:sz="8" w:space="0"/>
              <w:bottom w:val="single" w:color="auto" w:sz="8" w:space="0"/>
              <w:right w:val="single" w:color="auto" w:sz="8" w:space="0"/>
            </w:tcBorders>
            <w:noWrap w:val="0"/>
            <w:tcMar>
              <w:left w:w="108" w:type="dxa"/>
              <w:right w:w="108" w:type="dxa"/>
            </w:tcMar>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sz w:val="24"/>
                <w:szCs w:val="24"/>
              </w:rPr>
            </w:pPr>
            <w:r>
              <w:rPr>
                <w:rFonts w:hint="eastAsia" w:ascii="宋体" w:hAnsi="宋体" w:eastAsia="宋体" w:cs="宋体"/>
                <w:kern w:val="0"/>
                <w:sz w:val="24"/>
                <w:szCs w:val="24"/>
                <w:lang w:val="en-US" w:eastAsia="zh-CN" w:bidi="ar"/>
              </w:rPr>
              <w:t>其他建制镇</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35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15</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20</w:t>
            </w:r>
          </w:p>
        </w:tc>
        <w:tc>
          <w:tcPr>
            <w:tcW w:w="72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10</w:t>
            </w:r>
          </w:p>
        </w:tc>
        <w:tc>
          <w:tcPr>
            <w:tcW w:w="600"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4"/>
                <w:szCs w:val="24"/>
              </w:rPr>
            </w:pPr>
            <w:r>
              <w:rPr>
                <w:rFonts w:ascii="宋体" w:hAnsi="宋体" w:cs="宋体"/>
                <w:kern w:val="0"/>
                <w:sz w:val="24"/>
                <w:szCs w:val="24"/>
                <w:lang w:val="en-US" w:eastAsia="zh-CN" w:bidi="ar"/>
              </w:rPr>
              <w:t>5</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color="auto" w:fill="FFFFFF"/>
          <w:lang w:val="en-US" w:eastAsia="zh-CN" w:bidi="ar"/>
        </w:rPr>
        <w:t> 注：1.表中的收费标准为最高限收费标准。2.学校非经营性建设项目按住宅的收费标准减半征收，医疗、科研非经营性建设项目按商业的收费标准减半征收。</w:t>
      </w:r>
    </w:p>
    <w:p>
      <w:pPr>
        <w:spacing w:line="360" w:lineRule="exact"/>
        <w:rPr>
          <w:sz w:val="24"/>
          <w:szCs w:val="24"/>
        </w:rPr>
      </w:pPr>
    </w:p>
    <w:p>
      <w:pPr>
        <w:rPr>
          <w:sz w:val="24"/>
          <w:szCs w:val="24"/>
        </w:rPr>
      </w:pPr>
    </w:p>
    <w:p>
      <w:pPr>
        <w:rPr>
          <w:sz w:val="24"/>
          <w:szCs w:val="24"/>
        </w:rPr>
      </w:pPr>
    </w:p>
    <w:p>
      <w:pPr>
        <w:rPr>
          <w:sz w:val="24"/>
          <w:szCs w:val="24"/>
        </w:rPr>
      </w:pPr>
    </w:p>
    <w:p>
      <w:pPr>
        <w:rPr>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jc w:val="center"/>
        <w:rPr>
          <w:rFonts w:hint="default" w:ascii="Times New Roman" w:hAnsi="Times New Roman" w:eastAsia="宋体" w:cs="Times New Roman"/>
          <w:i w:val="0"/>
          <w:iCs w:val="0"/>
          <w:caps w:val="0"/>
          <w:color w:val="555555"/>
          <w:spacing w:val="0"/>
          <w:sz w:val="32"/>
          <w:szCs w:val="32"/>
        </w:rPr>
      </w:pPr>
      <w:r>
        <w:rPr>
          <w:rFonts w:ascii="方正小标宋简体" w:hAnsi="方正小标宋简体" w:eastAsia="方正小标宋简体" w:cs="方正小标宋简体"/>
          <w:i w:val="0"/>
          <w:iCs w:val="0"/>
          <w:caps w:val="0"/>
          <w:color w:val="555555"/>
          <w:spacing w:val="0"/>
          <w:kern w:val="0"/>
          <w:sz w:val="32"/>
          <w:szCs w:val="32"/>
          <w:shd w:val="clear" w:color="auto" w:fill="FFFFFF"/>
          <w:lang w:val="en-US" w:eastAsia="zh-CN" w:bidi="ar"/>
        </w:rPr>
        <w:t>连城县人民政府关于印发连城县城镇基础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jc w:val="center"/>
        <w:rPr>
          <w:rFonts w:hint="default" w:ascii="Times New Roman" w:hAnsi="Times New Roman" w:eastAsia="宋体" w:cs="Times New Roman"/>
          <w:i w:val="0"/>
          <w:iCs w:val="0"/>
          <w:caps w:val="0"/>
          <w:color w:val="555555"/>
          <w:spacing w:val="0"/>
          <w:sz w:val="32"/>
          <w:szCs w:val="32"/>
        </w:rPr>
      </w:pPr>
      <w:r>
        <w:rPr>
          <w:rFonts w:hint="default" w:ascii="方正小标宋简体" w:hAnsi="方正小标宋简体" w:eastAsia="方正小标宋简体" w:cs="方正小标宋简体"/>
          <w:i w:val="0"/>
          <w:iCs w:val="0"/>
          <w:caps w:val="0"/>
          <w:color w:val="555555"/>
          <w:spacing w:val="0"/>
          <w:kern w:val="0"/>
          <w:sz w:val="32"/>
          <w:szCs w:val="32"/>
          <w:shd w:val="clear" w:color="auto" w:fill="FFFFFF"/>
          <w:lang w:val="en-US" w:eastAsia="zh-CN" w:bidi="ar"/>
        </w:rPr>
        <w:t>设施配套费征收管理规定的通知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center"/>
        <w:rPr>
          <w:rFonts w:hint="eastAsia" w:ascii="仿宋" w:hAnsi="仿宋" w:eastAsia="仿宋" w:cs="仿宋"/>
          <w:b w:val="0"/>
          <w:bCs w:val="0"/>
          <w:i w:val="0"/>
          <w:iCs w:val="0"/>
          <w:caps w:val="0"/>
          <w:color w:val="555555"/>
          <w:spacing w:val="0"/>
          <w:sz w:val="30"/>
          <w:szCs w:val="30"/>
          <w:lang w:val="en-US" w:eastAsia="zh-CN"/>
        </w:rPr>
      </w:pPr>
      <w:r>
        <w:rPr>
          <w:rFonts w:hint="eastAsia" w:ascii="仿宋" w:hAnsi="仿宋" w:eastAsia="仿宋" w:cs="仿宋"/>
          <w:b w:val="0"/>
          <w:bCs w:val="0"/>
          <w:i w:val="0"/>
          <w:iCs w:val="0"/>
          <w:caps w:val="0"/>
          <w:color w:val="555555"/>
          <w:spacing w:val="0"/>
          <w:kern w:val="0"/>
          <w:sz w:val="30"/>
          <w:szCs w:val="30"/>
          <w:shd w:val="clear" w:color="auto" w:fill="FFFFFF"/>
          <w:lang w:val="en-US" w:eastAsia="zh-CN" w:bidi="ar"/>
        </w:rPr>
        <w:t>连政综[2015]317号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1" w:right="0" w:firstLine="420"/>
        <w:jc w:val="both"/>
        <w:rPr>
          <w:rFonts w:hint="default" w:ascii="Times New Roman" w:hAnsi="Times New Roman" w:eastAsia="宋体" w:cs="Times New Roman"/>
          <w:i w:val="0"/>
          <w:iCs w:val="0"/>
          <w:caps w:val="0"/>
          <w:color w:val="555555"/>
          <w:spacing w:val="0"/>
          <w:sz w:val="32"/>
          <w:szCs w:val="32"/>
        </w:rPr>
      </w:pPr>
      <w:r>
        <w:rPr>
          <w:rFonts w:ascii="仿宋_GB2312" w:hAnsi="Times New Roman" w:eastAsia="仿宋_GB2312" w:cs="仿宋_GB2312"/>
          <w:i w:val="0"/>
          <w:iCs w:val="0"/>
          <w:caps w:val="0"/>
          <w:color w:val="555555"/>
          <w:spacing w:val="0"/>
          <w:kern w:val="0"/>
          <w:sz w:val="32"/>
          <w:szCs w:val="32"/>
          <w:shd w:val="clear" w:color="auto" w:fill="FFFFFF"/>
          <w:lang w:val="en-US" w:eastAsia="zh-CN" w:bidi="ar"/>
        </w:rPr>
        <w:t>各乡（镇）人民政府，县直各单位：</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《连城县城镇基础设施配套费征收管理规定》已经县人民政府研究同意，现印发给你们，请遵照执行。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720"/>
        <w:jc w:val="both"/>
        <w:rPr>
          <w:rFonts w:hint="default" w:ascii="Times New Roman" w:hAnsi="Times New Roman" w:eastAsia="宋体" w:cs="Times New Roman"/>
          <w:i w:val="0"/>
          <w:iCs w:val="0"/>
          <w:caps w:val="0"/>
          <w:color w:val="555555"/>
          <w:spacing w:val="0"/>
          <w:sz w:val="32"/>
          <w:szCs w:val="32"/>
        </w:rPr>
      </w:pP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1535" w:firstLine="640"/>
        <w:jc w:val="right"/>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连城县人民政府</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1283" w:firstLine="640"/>
        <w:jc w:val="right"/>
        <w:rPr>
          <w:rFonts w:hint="default" w:ascii="Times New Roman" w:hAnsi="Times New Roman" w:eastAsia="宋体" w:cs="Times New Roman"/>
          <w:i w:val="0"/>
          <w:iCs w:val="0"/>
          <w:caps w:val="0"/>
          <w:color w:val="555555"/>
          <w:spacing w:val="0"/>
          <w:sz w:val="32"/>
          <w:szCs w:val="32"/>
        </w:rPr>
      </w:pP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2015</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年</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11</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月</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11</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jc w:val="center"/>
        <w:rPr>
          <w:rFonts w:hint="default" w:ascii="Times New Roman" w:hAnsi="Times New Roman" w:eastAsia="宋体" w:cs="Times New Roman"/>
          <w:i w:val="0"/>
          <w:iCs w:val="0"/>
          <w:caps w:val="0"/>
          <w:color w:val="555555"/>
          <w:spacing w:val="0"/>
          <w:sz w:val="32"/>
          <w:szCs w:val="32"/>
        </w:rPr>
      </w:pPr>
      <w:r>
        <w:rPr>
          <w:rFonts w:hint="default" w:ascii="方正小标宋简体" w:hAnsi="方正小标宋简体" w:eastAsia="方正小标宋简体" w:cs="方正小标宋简体"/>
          <w:i w:val="0"/>
          <w:iCs w:val="0"/>
          <w:caps w:val="0"/>
          <w:color w:val="555555"/>
          <w:spacing w:val="0"/>
          <w:kern w:val="0"/>
          <w:sz w:val="32"/>
          <w:szCs w:val="32"/>
          <w:shd w:val="clear" w:color="auto" w:fill="FFFFFF"/>
          <w:lang w:val="en-US" w:eastAsia="zh-CN" w:bidi="ar"/>
        </w:rPr>
        <w:t>连城县城镇基础设施配套费征收管理规定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ascii="黑体" w:hAnsi="宋体" w:eastAsia="黑体" w:cs="黑体"/>
          <w:i w:val="0"/>
          <w:iCs w:val="0"/>
          <w:caps w:val="0"/>
          <w:color w:val="555555"/>
          <w:spacing w:val="0"/>
          <w:kern w:val="0"/>
          <w:sz w:val="32"/>
          <w:szCs w:val="32"/>
          <w:shd w:val="clear" w:color="auto" w:fill="FFFFFF"/>
          <w:lang w:val="en-US" w:eastAsia="zh-CN" w:bidi="ar"/>
        </w:rPr>
        <w:t>第一条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为进一步规范城镇基础设施配套费的征收管理，根据《福建省人民政府关于印发福建省城市基础设施配套费征收管理规定的通知》（闽政</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〔2002</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53</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号）和《福建省物价局</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福建省财政厅关于城市基础设施配套费收费标准的通知》（闽价</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〔2004</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〕房</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116</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号）文件规定，凡在我县县城规划区、风景区、经济开发区和建制镇总体规划控制区范围内的建设项目（包括新建、扩建和改建），都必须按本规定缴纳城镇基础设施配套费（以下简称“配套费”）。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县城规划区范围按《连城县总体规划修编（</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2007</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2030</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年）》确定的规划范围执行，即：东至冠豸山风景名胜区，南至文亨乡，西至西山山体，北至揭乐—隔川。</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第二条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配套费主要用于建设项目以外的市政公用配套实施，包括城镇主次干道、给排水、供电、供气、路灯、公共交通、环境卫生和园林绿化等项目的建设和维护。建设项目范围内的市政公用基础设施，由开发建设单位负责配套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第三条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配套费由县住房和城乡规划建设局负责收取。该收费属行政性收费，所收资金按现行预算外资金管理的有关规定缴存县财政专户，实行“收支两条线管理”。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配套费是城镇基础设施建设专项资金，必须专款专用，由县住房和城乡规划建设局会同县财政局编制年度资金使用计划，报县人民政府批准实施。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第四条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配套费由建设单位或个人在办理建设工程规划许可证前一次性缴纳。县住建部门凭缴纳配套费的收据核发《建设工程规划许可证》。收费单位必须出具“福建省行政性收费统一票据”。“福建省行政性收费统一票据”由县住房和城乡规划建设局统一向县财政局领用。在县城规划区、风景区、经济开发区等行政划拨、招标、拍卖、挂牌交易方式出让土地的建设项目，土地出让价格中均不包含配套费的，建设单位和个人凭行政划拨用地批准书或土地出让合同书，到县住房和城乡规划建设局按本规定要求缴纳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textAlignment w:val="baseline"/>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vertAlign w:val="baseline"/>
          <w:lang w:val="en-US" w:eastAsia="zh-CN" w:bidi="ar"/>
        </w:rPr>
        <w:t>第五条</w:t>
      </w:r>
      <w:r>
        <w:rPr>
          <w:rFonts w:hint="eastAsia" w:ascii="微软雅黑" w:hAnsi="微软雅黑" w:eastAsia="微软雅黑" w:cs="微软雅黑"/>
          <w:i w:val="0"/>
          <w:iCs w:val="0"/>
          <w:caps w:val="0"/>
          <w:color w:val="555555"/>
          <w:spacing w:val="0"/>
          <w:kern w:val="0"/>
          <w:sz w:val="32"/>
          <w:szCs w:val="32"/>
          <w:shd w:val="clear" w:color="auto" w:fill="FFFFFF"/>
          <w:vertAlign w:val="baseline"/>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vertAlign w:val="baseline"/>
          <w:lang w:val="en-US" w:eastAsia="zh-CN" w:bidi="ar"/>
        </w:rPr>
        <w:t>配套费的征收依据建设项目所处土地类区和项目性质，按建筑面积收取（计收配套费的建筑面积按现行的建筑面积计算规则计算），具体收费标准如下表：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560"/>
        <w:jc w:val="right"/>
        <w:textAlignment w:val="baseline"/>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vertAlign w:val="baseline"/>
          <w:lang w:val="en-US" w:eastAsia="zh-CN" w:bidi="ar"/>
        </w:rPr>
        <w:t>单位：元</w:t>
      </w:r>
      <w:r>
        <w:rPr>
          <w:rFonts w:hint="eastAsia" w:ascii="微软雅黑" w:hAnsi="微软雅黑" w:eastAsia="微软雅黑" w:cs="微软雅黑"/>
          <w:i w:val="0"/>
          <w:iCs w:val="0"/>
          <w:caps w:val="0"/>
          <w:color w:val="555555"/>
          <w:spacing w:val="0"/>
          <w:kern w:val="0"/>
          <w:sz w:val="32"/>
          <w:szCs w:val="32"/>
          <w:shd w:val="clear" w:color="auto" w:fill="FFFFFF"/>
          <w:vertAlign w:val="baseline"/>
          <w:lang w:val="en-US" w:eastAsia="zh-CN" w:bidi="ar"/>
        </w:rPr>
        <w:t>/</w:t>
      </w:r>
      <w:r>
        <w:rPr>
          <w:rFonts w:hint="default" w:ascii="仿宋_GB2312" w:hAnsi="Times New Roman" w:eastAsia="仿宋_GB2312" w:cs="仿宋_GB2312"/>
          <w:i w:val="0"/>
          <w:iCs w:val="0"/>
          <w:caps w:val="0"/>
          <w:color w:val="555555"/>
          <w:spacing w:val="0"/>
          <w:kern w:val="0"/>
          <w:sz w:val="32"/>
          <w:szCs w:val="32"/>
          <w:shd w:val="clear" w:color="auto" w:fill="FFFFFF"/>
          <w:vertAlign w:val="baseline"/>
          <w:lang w:val="en-US" w:eastAsia="zh-CN" w:bidi="ar"/>
        </w:rPr>
        <w:t>平方米建筑面积</w:t>
      </w:r>
    </w:p>
    <w:tbl>
      <w:tblPr>
        <w:tblStyle w:val="6"/>
        <w:tblW w:w="8880" w:type="dxa"/>
        <w:jc w:val="center"/>
        <w:tblLayout w:type="autofit"/>
        <w:tblCellMar>
          <w:top w:w="0" w:type="dxa"/>
          <w:left w:w="0" w:type="dxa"/>
          <w:bottom w:w="0" w:type="dxa"/>
          <w:right w:w="0" w:type="dxa"/>
        </w:tblCellMar>
      </w:tblPr>
      <w:tblGrid>
        <w:gridCol w:w="876"/>
        <w:gridCol w:w="918"/>
        <w:gridCol w:w="918"/>
        <w:gridCol w:w="918"/>
        <w:gridCol w:w="918"/>
        <w:gridCol w:w="918"/>
        <w:gridCol w:w="918"/>
        <w:gridCol w:w="918"/>
        <w:gridCol w:w="918"/>
        <w:gridCol w:w="918"/>
        <w:gridCol w:w="918"/>
        <w:gridCol w:w="918"/>
        <w:gridCol w:w="876"/>
      </w:tblGrid>
      <w:tr>
        <w:tblPrEx>
          <w:tblCellMar>
            <w:top w:w="0" w:type="dxa"/>
            <w:left w:w="0" w:type="dxa"/>
            <w:bottom w:w="0" w:type="dxa"/>
            <w:right w:w="0" w:type="dxa"/>
          </w:tblCellMar>
        </w:tblPrEx>
        <w:trPr>
          <w:trHeight w:val="608" w:hRule="atLeast"/>
          <w:jc w:val="center"/>
        </w:trPr>
        <w:tc>
          <w:tcPr>
            <w:tcW w:w="1342" w:type="dxa"/>
            <w:vMerge w:val="restart"/>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名称</w:t>
            </w:r>
          </w:p>
        </w:tc>
        <w:tc>
          <w:tcPr>
            <w:tcW w:w="2512" w:type="dxa"/>
            <w:gridSpan w:val="4"/>
            <w:tcBorders>
              <w:top w:val="single" w:color="auto" w:sz="8" w:space="0"/>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住宅</w:t>
            </w:r>
          </w:p>
        </w:tc>
        <w:tc>
          <w:tcPr>
            <w:tcW w:w="2512" w:type="dxa"/>
            <w:gridSpan w:val="4"/>
            <w:tcBorders>
              <w:top w:val="single" w:color="auto" w:sz="8" w:space="0"/>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商业（含写字楼）</w:t>
            </w:r>
          </w:p>
        </w:tc>
        <w:tc>
          <w:tcPr>
            <w:tcW w:w="2512" w:type="dxa"/>
            <w:gridSpan w:val="4"/>
            <w:tcBorders>
              <w:top w:val="single" w:color="auto" w:sz="8" w:space="0"/>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工业及仓储</w:t>
            </w:r>
          </w:p>
        </w:tc>
      </w:tr>
      <w:tr>
        <w:tblPrEx>
          <w:tblCellMar>
            <w:top w:w="0" w:type="dxa"/>
            <w:left w:w="0" w:type="dxa"/>
            <w:bottom w:w="0" w:type="dxa"/>
            <w:right w:w="0" w:type="dxa"/>
          </w:tblCellMar>
        </w:tblPrEx>
        <w:trPr>
          <w:trHeight w:val="720" w:hRule="atLeast"/>
          <w:jc w:val="center"/>
        </w:trPr>
        <w:tc>
          <w:tcPr>
            <w:tcW w:w="1342" w:type="dxa"/>
            <w:vMerge w:val="continue"/>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pPr>
              <w:rPr>
                <w:rFonts w:hint="eastAsia" w:ascii="微软雅黑" w:hAnsi="微软雅黑" w:eastAsia="微软雅黑" w:cs="微软雅黑"/>
                <w:i w:val="0"/>
                <w:iCs w:val="0"/>
                <w:sz w:val="24"/>
                <w:szCs w:val="24"/>
              </w:rPr>
            </w:pP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一类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二类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三类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四类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一类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二类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三类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四类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一类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二类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三类</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四类</w:t>
            </w:r>
          </w:p>
        </w:tc>
      </w:tr>
      <w:tr>
        <w:tblPrEx>
          <w:tblCellMar>
            <w:top w:w="0" w:type="dxa"/>
            <w:left w:w="0" w:type="dxa"/>
            <w:bottom w:w="0" w:type="dxa"/>
            <w:right w:w="0" w:type="dxa"/>
          </w:tblCellMar>
        </w:tblPrEx>
        <w:trPr>
          <w:trHeight w:val="720" w:hRule="atLeast"/>
          <w:jc w:val="center"/>
        </w:trPr>
        <w:tc>
          <w:tcPr>
            <w:tcW w:w="1342" w:type="dxa"/>
            <w:tcBorders>
              <w:top w:val="nil"/>
              <w:left w:val="single" w:color="auto" w:sz="8" w:space="0"/>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县城</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40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25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45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35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25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20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25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8</w:t>
            </w:r>
          </w:p>
        </w:tc>
      </w:tr>
      <w:tr>
        <w:tblPrEx>
          <w:tblCellMar>
            <w:top w:w="0" w:type="dxa"/>
            <w:left w:w="0" w:type="dxa"/>
            <w:bottom w:w="0" w:type="dxa"/>
            <w:right w:w="0" w:type="dxa"/>
          </w:tblCellMar>
        </w:tblPrEx>
        <w:trPr>
          <w:trHeight w:val="720" w:hRule="atLeast"/>
          <w:jc w:val="center"/>
        </w:trPr>
        <w:tc>
          <w:tcPr>
            <w:tcW w:w="1342" w:type="dxa"/>
            <w:tcBorders>
              <w:top w:val="nil"/>
              <w:left w:val="single" w:color="auto" w:sz="8" w:space="0"/>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default" w:ascii="仿宋_GB2312" w:hAnsi="Times New Roman" w:eastAsia="仿宋_GB2312" w:cs="仿宋_GB2312"/>
                <w:i w:val="0"/>
                <w:iCs w:val="0"/>
                <w:kern w:val="0"/>
                <w:sz w:val="24"/>
                <w:szCs w:val="24"/>
                <w:lang w:val="en-US" w:eastAsia="zh-CN" w:bidi="ar"/>
              </w:rPr>
              <w:t>建制镇</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30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20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35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25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20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10</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5</w:t>
            </w:r>
          </w:p>
        </w:tc>
        <w:tc>
          <w:tcPr>
            <w:tcW w:w="628" w:type="dxa"/>
            <w:tcBorders>
              <w:top w:val="nil"/>
              <w:left w:val="nil"/>
              <w:bottom w:val="single" w:color="auto" w:sz="8" w:space="0"/>
              <w:right w:val="single" w:color="auto" w:sz="8" w:space="0"/>
            </w:tcBorders>
            <w:noWrap w:val="0"/>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eastAsia="宋体" w:cs="Times New Roman"/>
                <w:i w:val="0"/>
                <w:iCs w:val="0"/>
                <w:sz w:val="24"/>
                <w:szCs w:val="24"/>
              </w:rPr>
            </w:pPr>
            <w:r>
              <w:rPr>
                <w:rFonts w:hint="eastAsia" w:ascii="微软雅黑" w:hAnsi="微软雅黑" w:eastAsia="微软雅黑" w:cs="微软雅黑"/>
                <w:i w:val="0"/>
                <w:iCs w:val="0"/>
                <w:kern w:val="0"/>
                <w:sz w:val="24"/>
                <w:szCs w:val="24"/>
                <w:lang w:val="en-US" w:eastAsia="zh-CN" w:bidi="ar"/>
              </w:rPr>
              <w:t>3</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第六条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城镇土地类区划分：一类区为城镇建成区内繁华地段，城区主、次干道两侧地段进深</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50</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米范围，包括东环路、连文公路、连塘路、东大路、中山路、连宁路、北大路、莲中路、团结路、西环路、观景路、江林大道、莲北大道、西城文教片区宁中路、宁南路和梅花山路等；二类区为城镇建成区一般地区和除一类区外的城镇总体规划控制区路网两侧进深</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50</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米范围，文亨、林坊、揭乐、隔川主、次干道两侧进深</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50</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米范围；三类区为城镇规划区内除一、二类区外的近郊地区及冠豸山旅游经济开发区；四类区为近郊地区边远自然村、建制镇规划区边缘。（规划建筑物位于不同类区分界线上的，按该建筑物占不同类区占地面积比例分摊建筑面积后计算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第七条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开发小区容积率小于</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1</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的建设项目，配套费按容积率为</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1</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的建筑面积征收。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第八条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对原有建筑进行局部维修，不改变原有建筑结构，不扩大建筑面积、不增加建筑层数的，不收取配套费；改变建筑结构，增加建筑层数，扩大建筑面积的，按新增建筑面积缴纳配套费；改变原有建筑结构重新建设的，按新建建筑缴纳配套费；建筑中公共使用的骑楼、通道等部分的建筑面积不计配套费；地下空间按计算规则有计入建筑面积的，按建筑面积交缴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第九条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对原有建筑改造成营业性店面的，按改造后整个店面的建筑面积以商业建筑计收配套费。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第十条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配套费免征、减征范围：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一）军事设施（含武警部队设施）、市政公用设施（含城市停车场建设项目）、单建式人防工程、经济适用房、廉租住房建设项目以及经市（县）政府确认或批准的由社会各界捐建的学校图书馆、孤儿院、养老院等社会公益事业建设项目免征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二）学校、医疗机构、科研等单位以及中央、省属单位和外地驻当地政府机构兴办的非经营性建设项目（不含住宅）、残疾人非经营性福利事业建设项目、经省科技行政主管部门认定的国家和省确定扶持的高新技术建设项目以及行政机关办公楼建设项目减半征收配套费。（西城新区、新建火车站新区全额征收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除上述减免范围外，任何单位和个人均不得随意减免配套费。免征、减征配套费的建设需要改变使用性质的，应办理报批变更手续，并按规定补交配套费。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第十一条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配套费的免征、减免应先报县住房和城乡规划建设局审核后，再报县人民政府批准。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第十二条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本规定由县住房和城乡规划建设局负责解释。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Times New Roman" w:hAnsi="Times New Roman" w:eastAsia="宋体" w:cs="Times New Roman"/>
          <w:i w:val="0"/>
          <w:iCs w:val="0"/>
          <w:caps w:val="0"/>
          <w:color w:val="555555"/>
          <w:spacing w:val="0"/>
          <w:sz w:val="32"/>
          <w:szCs w:val="32"/>
        </w:rPr>
      </w:pPr>
      <w:r>
        <w:rPr>
          <w:rFonts w:hint="eastAsia" w:ascii="黑体" w:hAnsi="宋体" w:eastAsia="黑体" w:cs="黑体"/>
          <w:i w:val="0"/>
          <w:iCs w:val="0"/>
          <w:caps w:val="0"/>
          <w:color w:val="555555"/>
          <w:spacing w:val="0"/>
          <w:kern w:val="0"/>
          <w:sz w:val="32"/>
          <w:szCs w:val="32"/>
          <w:shd w:val="clear" w:color="auto" w:fill="FFFFFF"/>
          <w:lang w:val="en-US" w:eastAsia="zh-CN" w:bidi="ar"/>
        </w:rPr>
        <w:t>第十三条</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本规定自发布之日起执行。《连城县人民政府关于印发</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&lt;</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连城县城镇基础设施配套费征收管理规定</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&gt;</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的通知》（连政〔</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2011</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w:t>
      </w:r>
      <w:r>
        <w:rPr>
          <w:rFonts w:hint="eastAsia" w:ascii="微软雅黑" w:hAnsi="微软雅黑" w:eastAsia="微软雅黑" w:cs="微软雅黑"/>
          <w:i w:val="0"/>
          <w:iCs w:val="0"/>
          <w:caps w:val="0"/>
          <w:color w:val="555555"/>
          <w:spacing w:val="0"/>
          <w:kern w:val="0"/>
          <w:sz w:val="32"/>
          <w:szCs w:val="32"/>
          <w:shd w:val="clear" w:color="auto" w:fill="FFFFFF"/>
          <w:lang w:val="en-US" w:eastAsia="zh-CN" w:bidi="ar"/>
        </w:rPr>
        <w:t>196</w:t>
      </w:r>
      <w:r>
        <w:rPr>
          <w:rFonts w:hint="default" w:ascii="仿宋_GB2312" w:hAnsi="Times New Roman" w:eastAsia="仿宋_GB2312" w:cs="仿宋_GB2312"/>
          <w:i w:val="0"/>
          <w:iCs w:val="0"/>
          <w:caps w:val="0"/>
          <w:color w:val="555555"/>
          <w:spacing w:val="0"/>
          <w:kern w:val="0"/>
          <w:sz w:val="32"/>
          <w:szCs w:val="32"/>
          <w:shd w:val="clear" w:color="auto" w:fill="FFFFFF"/>
          <w:lang w:val="en-US" w:eastAsia="zh-CN" w:bidi="ar"/>
        </w:rPr>
        <w:t>号）同时废止。</w:t>
      </w:r>
    </w:p>
    <w:p>
      <w:pPr>
        <w:rPr>
          <w:rFonts w:hint="default" w:ascii="Calibri" w:hAnsi="Calibri" w:eastAsia="宋体" w:cs="Times New Roman"/>
          <w:lang w:val="en-US" w:eastAsia="zh-CN"/>
        </w:rPr>
      </w:pP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default" w:ascii="微软雅黑" w:hAnsi="微软雅黑" w:eastAsia="微软雅黑" w:cs="微软雅黑"/>
          <w:i w:val="0"/>
          <w:iCs w:val="0"/>
          <w:caps w:val="0"/>
          <w:color w:val="444444"/>
          <w:spacing w:val="0"/>
          <w:sz w:val="24"/>
          <w:szCs w:val="24"/>
          <w:shd w:val="clear" w:color="auto" w:fill="FFFFFF"/>
          <w:lang w:val="en-US" w:eastAsia="zh-CN"/>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00"/>
    <w:family w:val="auto"/>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13901"/>
    <w:rsid w:val="0035324B"/>
    <w:rsid w:val="00B75257"/>
    <w:rsid w:val="00E64DE7"/>
    <w:rsid w:val="13A621A2"/>
    <w:rsid w:val="289D0990"/>
    <w:rsid w:val="34484CB5"/>
    <w:rsid w:val="36ED5696"/>
    <w:rsid w:val="3E513901"/>
    <w:rsid w:val="7A8551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4"/>
    <w:basedOn w:val="1"/>
    <w:next w:val="1"/>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character" w:styleId="8">
    <w:name w:val="Strong"/>
    <w:basedOn w:val="7"/>
    <w:uiPriority w:val="0"/>
    <w:rPr>
      <w:b/>
    </w:rPr>
  </w:style>
  <w:style w:type="character" w:styleId="9">
    <w:name w:val="page number"/>
    <w:basedOn w:val="7"/>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K:\&#37197;&#22871;&#36153;&#20154;&#38450;&#36153;&#25991;&#20214;.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配套费人防费文件.doc</Template>
  <Pages>8</Pages>
  <Words>4268</Words>
  <Characters>4394</Characters>
  <Lines>28</Lines>
  <Paragraphs>8</Paragraphs>
  <TotalTime>8</TotalTime>
  <ScaleCrop>false</ScaleCrop>
  <LinksUpToDate>false</LinksUpToDate>
  <CharactersWithSpaces>4488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2025-12-02T01:17:00Z</dcterms:created>
  <dc:creator>Administrator</dc:creator>
  <cp:lastModifiedBy>Administrator</cp:lastModifiedBy>
  <dcterms:modified xsi:type="dcterms:W3CDTF">2025-12-02T01:23:42Z</dcterms:modified>
  <dc:title>    福建省人民政府批转省财政厅省经贸委关于福建省散装水泥专项资金征收和使用管理实施细则的通知闽政文2003149号2003年5月23日颁布实施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E933E9DC758841C7BB1C45F6DF8D6DCE</vt:lpwstr>
  </property>
</Properties>
</file>