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21343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sz w:val="44"/>
          <w:szCs w:val="44"/>
          <w:lang w:val="en-US" w:eastAsia="zh-CN"/>
        </w:rPr>
      </w:pPr>
      <w:bookmarkStart w:id="0" w:name="_GoBack"/>
      <w:r>
        <w:rPr>
          <w:rFonts w:hint="eastAsia" w:ascii="方正小标宋简体" w:hAnsi="方正小标宋简体" w:eastAsia="方正小标宋简体" w:cs="方正小标宋简体"/>
          <w:b w:val="0"/>
          <w:bCs w:val="0"/>
          <w:i w:val="0"/>
          <w:iCs w:val="0"/>
          <w:caps w:val="0"/>
          <w:color w:val="333333"/>
          <w:spacing w:val="0"/>
          <w:sz w:val="44"/>
          <w:szCs w:val="44"/>
          <w:shd w:val="clear" w:color="auto" w:fill="FFFFFF"/>
        </w:rPr>
        <w:t>连城县司法局行政处罚自由裁量基准</w:t>
      </w:r>
      <w:bookmarkEnd w:id="0"/>
    </w:p>
    <w:p w14:paraId="1B6D990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sz w:val="44"/>
          <w:szCs w:val="44"/>
          <w:lang w:val="en-US" w:eastAsia="zh-CN"/>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1"/>
        <w:gridCol w:w="1160"/>
        <w:gridCol w:w="3544"/>
        <w:gridCol w:w="765"/>
        <w:gridCol w:w="3795"/>
        <w:gridCol w:w="4290"/>
      </w:tblGrid>
      <w:tr w14:paraId="2E9A1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561" w:type="dxa"/>
            <w:noWrap w:val="0"/>
            <w:vAlign w:val="center"/>
          </w:tcPr>
          <w:p w14:paraId="13B847C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b/>
                <w:i w:val="0"/>
                <w:color w:val="000000"/>
                <w:sz w:val="21"/>
                <w:szCs w:val="21"/>
                <w:highlight w:val="none"/>
                <w:u w:val="none"/>
              </w:rPr>
            </w:pPr>
            <w:r>
              <w:rPr>
                <w:rFonts w:hint="default" w:ascii="Times New Roman" w:hAnsi="Times New Roman" w:eastAsia="仿宋_GB2312" w:cs="Times New Roman"/>
                <w:b/>
                <w:i w:val="0"/>
                <w:color w:val="000000"/>
                <w:kern w:val="0"/>
                <w:sz w:val="21"/>
                <w:szCs w:val="21"/>
                <w:highlight w:val="none"/>
                <w:u w:val="none"/>
                <w:lang w:val="en-US" w:eastAsia="zh-CN" w:bidi="ar"/>
              </w:rPr>
              <w:t>序号</w:t>
            </w:r>
          </w:p>
        </w:tc>
        <w:tc>
          <w:tcPr>
            <w:tcW w:w="1160" w:type="dxa"/>
            <w:noWrap w:val="0"/>
            <w:vAlign w:val="center"/>
          </w:tcPr>
          <w:p w14:paraId="6D54216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b/>
                <w:i w:val="0"/>
                <w:color w:val="000000"/>
                <w:sz w:val="21"/>
                <w:szCs w:val="21"/>
                <w:highlight w:val="none"/>
                <w:u w:val="none"/>
              </w:rPr>
            </w:pPr>
            <w:r>
              <w:rPr>
                <w:rFonts w:hint="default" w:ascii="Times New Roman" w:hAnsi="Times New Roman" w:eastAsia="仿宋_GB2312" w:cs="Times New Roman"/>
                <w:b/>
                <w:i w:val="0"/>
                <w:color w:val="000000"/>
                <w:kern w:val="0"/>
                <w:sz w:val="21"/>
                <w:szCs w:val="21"/>
                <w:highlight w:val="none"/>
                <w:u w:val="none"/>
                <w:lang w:val="en-US" w:eastAsia="zh-CN" w:bidi="ar"/>
              </w:rPr>
              <w:t>违法行为</w:t>
            </w:r>
          </w:p>
        </w:tc>
        <w:tc>
          <w:tcPr>
            <w:tcW w:w="3544" w:type="dxa"/>
            <w:noWrap w:val="0"/>
            <w:vAlign w:val="center"/>
          </w:tcPr>
          <w:p w14:paraId="69759813">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b/>
                <w:i w:val="0"/>
                <w:color w:val="000000"/>
                <w:sz w:val="21"/>
                <w:szCs w:val="21"/>
                <w:highlight w:val="none"/>
                <w:u w:val="none"/>
              </w:rPr>
            </w:pPr>
            <w:r>
              <w:rPr>
                <w:rFonts w:hint="default" w:ascii="Times New Roman" w:hAnsi="Times New Roman" w:eastAsia="仿宋_GB2312" w:cs="Times New Roman"/>
                <w:b/>
                <w:i w:val="0"/>
                <w:color w:val="000000"/>
                <w:kern w:val="0"/>
                <w:sz w:val="21"/>
                <w:szCs w:val="21"/>
                <w:highlight w:val="none"/>
                <w:u w:val="none"/>
                <w:lang w:val="en-US" w:eastAsia="zh-CN" w:bidi="ar"/>
              </w:rPr>
              <w:t>处罚依据</w:t>
            </w:r>
          </w:p>
        </w:tc>
        <w:tc>
          <w:tcPr>
            <w:tcW w:w="765" w:type="dxa"/>
            <w:noWrap w:val="0"/>
            <w:vAlign w:val="center"/>
          </w:tcPr>
          <w:p w14:paraId="3794A6C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b/>
                <w:i w:val="0"/>
                <w:color w:val="000000"/>
                <w:kern w:val="0"/>
                <w:sz w:val="21"/>
                <w:szCs w:val="21"/>
                <w:highlight w:val="none"/>
                <w:u w:val="none"/>
                <w:lang w:val="en-US" w:eastAsia="zh-CN" w:bidi="ar"/>
              </w:rPr>
            </w:pPr>
            <w:r>
              <w:rPr>
                <w:rFonts w:hint="default" w:ascii="Times New Roman" w:hAnsi="Times New Roman" w:eastAsia="仿宋_GB2312" w:cs="Times New Roman"/>
                <w:b/>
                <w:i w:val="0"/>
                <w:color w:val="000000"/>
                <w:kern w:val="0"/>
                <w:sz w:val="21"/>
                <w:szCs w:val="21"/>
                <w:highlight w:val="none"/>
                <w:u w:val="none"/>
                <w:lang w:val="en-US" w:eastAsia="zh-CN" w:bidi="ar"/>
              </w:rPr>
              <w:t>违法</w:t>
            </w:r>
          </w:p>
          <w:p w14:paraId="2564161D">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b/>
                <w:i w:val="0"/>
                <w:color w:val="000000"/>
                <w:sz w:val="21"/>
                <w:szCs w:val="21"/>
                <w:highlight w:val="none"/>
                <w:u w:val="none"/>
              </w:rPr>
            </w:pPr>
            <w:r>
              <w:rPr>
                <w:rFonts w:hint="default" w:ascii="Times New Roman" w:hAnsi="Times New Roman" w:eastAsia="仿宋_GB2312" w:cs="Times New Roman"/>
                <w:b/>
                <w:i w:val="0"/>
                <w:color w:val="000000"/>
                <w:kern w:val="0"/>
                <w:sz w:val="21"/>
                <w:szCs w:val="21"/>
                <w:highlight w:val="none"/>
                <w:u w:val="none"/>
                <w:lang w:val="en-US" w:eastAsia="zh-CN" w:bidi="ar"/>
              </w:rPr>
              <w:t>程度</w:t>
            </w:r>
          </w:p>
        </w:tc>
        <w:tc>
          <w:tcPr>
            <w:tcW w:w="3795" w:type="dxa"/>
            <w:noWrap w:val="0"/>
            <w:vAlign w:val="center"/>
          </w:tcPr>
          <w:p w14:paraId="2BC3B507">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b/>
                <w:i w:val="0"/>
                <w:color w:val="000000"/>
                <w:sz w:val="21"/>
                <w:szCs w:val="21"/>
                <w:highlight w:val="none"/>
                <w:u w:val="none"/>
              </w:rPr>
            </w:pPr>
            <w:r>
              <w:rPr>
                <w:rFonts w:hint="default" w:ascii="Times New Roman" w:hAnsi="Times New Roman" w:eastAsia="仿宋_GB2312" w:cs="Times New Roman"/>
                <w:b/>
                <w:i w:val="0"/>
                <w:color w:val="000000"/>
                <w:kern w:val="0"/>
                <w:sz w:val="21"/>
                <w:szCs w:val="21"/>
                <w:highlight w:val="none"/>
                <w:u w:val="none"/>
                <w:lang w:val="en-US" w:eastAsia="zh-CN" w:bidi="ar"/>
              </w:rPr>
              <w:t>违法情节</w:t>
            </w:r>
          </w:p>
        </w:tc>
        <w:tc>
          <w:tcPr>
            <w:tcW w:w="4290" w:type="dxa"/>
            <w:noWrap w:val="0"/>
            <w:vAlign w:val="center"/>
          </w:tcPr>
          <w:p w14:paraId="3E9BA3F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b/>
                <w:i w:val="0"/>
                <w:color w:val="000000"/>
                <w:sz w:val="21"/>
                <w:szCs w:val="21"/>
                <w:highlight w:val="none"/>
                <w:u w:val="none"/>
              </w:rPr>
            </w:pPr>
            <w:r>
              <w:rPr>
                <w:rFonts w:hint="default" w:ascii="Times New Roman" w:hAnsi="Times New Roman" w:eastAsia="仿宋_GB2312" w:cs="Times New Roman"/>
                <w:b/>
                <w:i w:val="0"/>
                <w:color w:val="000000"/>
                <w:kern w:val="0"/>
                <w:sz w:val="21"/>
                <w:szCs w:val="21"/>
                <w:highlight w:val="none"/>
                <w:u w:val="none"/>
                <w:lang w:val="en-US" w:eastAsia="zh-CN" w:bidi="ar"/>
              </w:rPr>
              <w:t>处罚标准</w:t>
            </w:r>
          </w:p>
        </w:tc>
      </w:tr>
      <w:tr w14:paraId="7C7267DE">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90"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5148B1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eastAsia" w:ascii="Times New Roman" w:hAnsi="Times New Roman" w:eastAsia="仿宋_GB2312" w:cs="Times New Roman"/>
                <w:i w:val="0"/>
                <w:color w:val="000000"/>
                <w:sz w:val="24"/>
                <w:szCs w:val="24"/>
                <w:highlight w:val="none"/>
                <w:lang w:eastAsia="zh-CN"/>
              </w:rPr>
            </w:pPr>
            <w:r>
              <w:rPr>
                <w:rFonts w:hint="eastAsia" w:eastAsia="仿宋_GB2312" w:cs="Times New Roman"/>
                <w:i w:val="0"/>
                <w:caps w:val="0"/>
                <w:color w:val="000000"/>
                <w:spacing w:val="0"/>
                <w:sz w:val="24"/>
                <w:szCs w:val="24"/>
                <w:highlight w:val="none"/>
                <w:lang w:val="en-US" w:eastAsia="zh-CN"/>
              </w:rPr>
              <w:t>1</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CA31C0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没有取得律师执业资格的人员以律师名义从事法律服务业务</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AF80C0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left"/>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《律师法》第五十五条：没有取得律师执业证书的人员以律师名义从事法律服务业务的，由所在地的县级以上地方人民政府司法行政部门责令停止非法执业，没收违法所得，处违法所得一倍以上五倍以下的罚款。</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438C4C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B42FF53">
            <w:pPr>
              <w:keepNext w:val="0"/>
              <w:keepLines w:val="0"/>
              <w:pageBreakBefore w:val="0"/>
              <w:widowControl/>
              <w:suppressLineNumbers w:val="0"/>
              <w:kinsoku/>
              <w:wordWrap/>
              <w:overflowPunct/>
              <w:topLinePunct w:val="0"/>
              <w:autoSpaceDE/>
              <w:autoSpaceDN/>
              <w:bidi w:val="0"/>
              <w:adjustRightInd w:val="0"/>
              <w:snapToGrid w:val="0"/>
              <w:spacing w:line="240" w:lineRule="exact"/>
              <w:jc w:val="left"/>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违法所得不满三万元，配合调查，认错态度积极的。</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85FC3C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left"/>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责令停止非法执业，没收违法所得，处违法所得一倍以上二倍以下的罚款。</w:t>
            </w:r>
          </w:p>
        </w:tc>
      </w:tr>
      <w:tr w14:paraId="244331A3">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077"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DB71B1F">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6766CF7">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375F342">
            <w:pPr>
              <w:keepNext w:val="0"/>
              <w:keepLines w:val="0"/>
              <w:pageBreakBefore w:val="0"/>
              <w:kinsoku/>
              <w:wordWrap/>
              <w:overflowPunct/>
              <w:topLinePunct w:val="0"/>
              <w:autoSpaceDE/>
              <w:autoSpaceDN/>
              <w:bidi w:val="0"/>
              <w:adjustRightInd w:val="0"/>
              <w:snapToGrid w:val="0"/>
              <w:spacing w:line="240" w:lineRule="exact"/>
              <w:jc w:val="left"/>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1E42FF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51D5F67">
            <w:pPr>
              <w:keepNext w:val="0"/>
              <w:keepLines w:val="0"/>
              <w:pageBreakBefore w:val="0"/>
              <w:widowControl/>
              <w:suppressLineNumbers w:val="0"/>
              <w:kinsoku/>
              <w:wordWrap/>
              <w:overflowPunct/>
              <w:topLinePunct w:val="0"/>
              <w:autoSpaceDE/>
              <w:autoSpaceDN/>
              <w:bidi w:val="0"/>
              <w:adjustRightInd w:val="0"/>
              <w:snapToGrid w:val="0"/>
              <w:spacing w:line="240" w:lineRule="exact"/>
              <w:jc w:val="left"/>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违法所得三万元以上不满十万元，配合调查，认错态度积极的。</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604987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left"/>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责令停止非法执业，没收违法所得，处违法所得二倍以上四倍以下的罚款。</w:t>
            </w:r>
          </w:p>
        </w:tc>
      </w:tr>
      <w:tr w14:paraId="55ECC417">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077"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0B19995">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07F1A59">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E0DC780">
            <w:pPr>
              <w:keepNext w:val="0"/>
              <w:keepLines w:val="0"/>
              <w:pageBreakBefore w:val="0"/>
              <w:kinsoku/>
              <w:wordWrap/>
              <w:overflowPunct/>
              <w:topLinePunct w:val="0"/>
              <w:autoSpaceDE/>
              <w:autoSpaceDN/>
              <w:bidi w:val="0"/>
              <w:adjustRightInd w:val="0"/>
              <w:snapToGrid w:val="0"/>
              <w:spacing w:line="240" w:lineRule="exact"/>
              <w:jc w:val="left"/>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E9B6EA6">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3</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AC23072">
            <w:pPr>
              <w:keepNext w:val="0"/>
              <w:keepLines w:val="0"/>
              <w:pageBreakBefore w:val="0"/>
              <w:widowControl/>
              <w:suppressLineNumbers w:val="0"/>
              <w:kinsoku/>
              <w:wordWrap/>
              <w:overflowPunct/>
              <w:topLinePunct w:val="0"/>
              <w:autoSpaceDE/>
              <w:autoSpaceDN/>
              <w:bidi w:val="0"/>
              <w:adjustRightInd w:val="0"/>
              <w:snapToGrid w:val="0"/>
              <w:spacing w:line="240" w:lineRule="exact"/>
              <w:jc w:val="left"/>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有以下情形之一的：（1）违法所得十万元以上的；（2）抗拒调查或隐匿、销毁违法行为证据的；（3）存在其他严重情节或造成严重危害后果的。</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EB0B22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left"/>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责令停止非法执业，没收违法所得，处违法所得四倍以上五倍以下的罚款。</w:t>
            </w:r>
          </w:p>
        </w:tc>
      </w:tr>
      <w:tr w14:paraId="7CCFBB00">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right w:val="outset" w:color="000000" w:sz="6" w:space="0"/>
            </w:tcBorders>
            <w:shd w:val="clear" w:color="auto" w:fill="FFFFFF"/>
            <w:noWrap w:val="0"/>
            <w:vAlign w:val="center"/>
          </w:tcPr>
          <w:p w14:paraId="4494B93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2</w:t>
            </w:r>
          </w:p>
        </w:tc>
        <w:tc>
          <w:tcPr>
            <w:tcW w:w="1160" w:type="dxa"/>
            <w:vMerge w:val="restart"/>
            <w:tcBorders>
              <w:top w:val="outset" w:color="000000" w:sz="6" w:space="0"/>
              <w:left w:val="outset" w:color="000000" w:sz="6" w:space="0"/>
              <w:right w:val="outset" w:color="000000" w:sz="6" w:space="0"/>
            </w:tcBorders>
            <w:shd w:val="clear" w:color="auto" w:fill="FFFFFF"/>
            <w:noWrap w:val="0"/>
            <w:vAlign w:val="center"/>
          </w:tcPr>
          <w:p w14:paraId="1379E5F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基层法律服务工作者超越业务范围和诉讼代理执业区域</w:t>
            </w:r>
          </w:p>
        </w:tc>
        <w:tc>
          <w:tcPr>
            <w:tcW w:w="3544" w:type="dxa"/>
            <w:vMerge w:val="restart"/>
            <w:tcBorders>
              <w:top w:val="outset" w:color="000000" w:sz="6" w:space="0"/>
              <w:left w:val="outset" w:color="000000" w:sz="6" w:space="0"/>
              <w:right w:val="outset" w:color="000000" w:sz="6" w:space="0"/>
            </w:tcBorders>
            <w:shd w:val="clear" w:color="auto" w:fill="FFFFFF"/>
            <w:noWrap w:val="0"/>
            <w:vAlign w:val="center"/>
          </w:tcPr>
          <w:p w14:paraId="5B7E04D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left"/>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一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一）超越业务范围和诉讼代理执业区域的。</w:t>
            </w:r>
          </w:p>
        </w:tc>
        <w:tc>
          <w:tcPr>
            <w:tcW w:w="765" w:type="dxa"/>
            <w:tcBorders>
              <w:top w:val="outset" w:color="000000" w:sz="6" w:space="0"/>
              <w:left w:val="outset" w:color="000000" w:sz="6" w:space="0"/>
              <w:right w:val="outset" w:color="000000" w:sz="6" w:space="0"/>
            </w:tcBorders>
            <w:shd w:val="clear" w:color="auto" w:fill="FFFFFF"/>
            <w:noWrap w:val="0"/>
            <w:vAlign w:val="center"/>
          </w:tcPr>
          <w:p w14:paraId="6F4F01F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0FDE37AB">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right w:val="outset" w:color="000000" w:sz="6" w:space="0"/>
            </w:tcBorders>
            <w:shd w:val="clear" w:color="auto" w:fill="FFFFFF"/>
            <w:noWrap w:val="0"/>
            <w:vAlign w:val="center"/>
          </w:tcPr>
          <w:p w14:paraId="3A731BE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给予警告处罚</w:t>
            </w:r>
          </w:p>
        </w:tc>
      </w:tr>
      <w:tr w14:paraId="07A9E976">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continue"/>
            <w:tcBorders>
              <w:left w:val="outset" w:color="000000" w:sz="6" w:space="0"/>
              <w:bottom w:val="outset" w:color="000000" w:sz="6" w:space="0"/>
              <w:right w:val="outset" w:color="000000" w:sz="6" w:space="0"/>
            </w:tcBorders>
            <w:shd w:val="clear" w:color="auto" w:fill="FFFFFF"/>
            <w:noWrap w:val="0"/>
            <w:vAlign w:val="center"/>
          </w:tcPr>
          <w:p w14:paraId="46BC195B">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sz w:val="24"/>
                <w:szCs w:val="24"/>
              </w:rPr>
            </w:pPr>
          </w:p>
        </w:tc>
        <w:tc>
          <w:tcPr>
            <w:tcW w:w="1160" w:type="dxa"/>
            <w:vMerge w:val="continue"/>
            <w:tcBorders>
              <w:left w:val="outset" w:color="000000" w:sz="6" w:space="0"/>
              <w:bottom w:val="outset" w:color="000000" w:sz="6" w:space="0"/>
              <w:right w:val="outset" w:color="000000" w:sz="6" w:space="0"/>
            </w:tcBorders>
            <w:shd w:val="clear" w:color="auto" w:fill="FFFFFF"/>
            <w:noWrap w:val="0"/>
            <w:vAlign w:val="center"/>
          </w:tcPr>
          <w:p w14:paraId="34115C8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sz w:val="24"/>
                <w:szCs w:val="24"/>
              </w:rPr>
            </w:pPr>
          </w:p>
        </w:tc>
        <w:tc>
          <w:tcPr>
            <w:tcW w:w="3544" w:type="dxa"/>
            <w:vMerge w:val="continue"/>
            <w:tcBorders>
              <w:left w:val="outset" w:color="000000" w:sz="6" w:space="0"/>
              <w:bottom w:val="outset" w:color="000000" w:sz="6" w:space="0"/>
              <w:right w:val="outset" w:color="000000" w:sz="6" w:space="0"/>
            </w:tcBorders>
            <w:shd w:val="clear" w:color="auto" w:fill="FFFFFF"/>
            <w:noWrap w:val="0"/>
            <w:vAlign w:val="center"/>
          </w:tcPr>
          <w:p w14:paraId="7A6926F6">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sz w:val="22"/>
                <w:szCs w:val="22"/>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73EAA668">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left w:val="outset" w:color="000000" w:sz="6" w:space="0"/>
              <w:right w:val="outset" w:color="000000" w:sz="6" w:space="0"/>
            </w:tcBorders>
            <w:shd w:val="clear" w:color="auto" w:fill="FFFFFF"/>
            <w:noWrap w:val="0"/>
            <w:vAlign w:val="center"/>
          </w:tcPr>
          <w:p w14:paraId="7D35F6A0">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left w:val="outset" w:color="000000" w:sz="6" w:space="0"/>
              <w:bottom w:val="outset" w:color="000000" w:sz="6" w:space="0"/>
              <w:right w:val="outset" w:color="000000" w:sz="6" w:space="0"/>
            </w:tcBorders>
            <w:shd w:val="clear" w:color="auto" w:fill="FFFFFF"/>
            <w:noWrap w:val="0"/>
            <w:vAlign w:val="center"/>
          </w:tcPr>
          <w:p w14:paraId="2153C091">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53C2C5A0">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B6B9BB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3</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494838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基层法律服务工作者以贬损他人、抬高自己、虚假承诺或者支付介绍费等不正当手段争揽业务</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A6CD62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left"/>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二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二）以贬损他人、抬高自己、虚假承诺或者支付介绍费等不正当手段争揽业务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A93C20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C661831">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9EE475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119847F6">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079"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9C09B98">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3F70D5C">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A38A387">
            <w:pPr>
              <w:keepNext w:val="0"/>
              <w:keepLines w:val="0"/>
              <w:pageBreakBefore w:val="0"/>
              <w:kinsoku/>
              <w:wordWrap/>
              <w:overflowPunct/>
              <w:topLinePunct w:val="0"/>
              <w:autoSpaceDE/>
              <w:autoSpaceDN/>
              <w:bidi w:val="0"/>
              <w:adjustRightInd w:val="0"/>
              <w:snapToGrid w:val="0"/>
              <w:spacing w:line="240" w:lineRule="exact"/>
              <w:jc w:val="left"/>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0ADAC1CB">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11C5CECF">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740F624">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7BA6506D">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2FE626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4</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A7AE60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曾担任法官的基层法律服务工作者，担任原任职法院办理案件的诉讼代理人</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6FA0A5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left"/>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三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三）曾担任法官的基层法律服务工作者，担任原任职法院办理案件的诉讼代理人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6917B50">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C8B679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BDA5DE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593E1174">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409"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74C48C5">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C435E07">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4926289">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3C851604">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4A1A26AD">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CA147A7">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355AC857">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D00A3A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eastAsia"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5</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0B0A05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基层法律服务工作者冒用律师名义执业</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851EC8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left"/>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四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四）冒用律师名义执业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EC9DF6F">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BF71154">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4F242C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62458C24">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001"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8165ED2">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916E424">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57223B5">
            <w:pPr>
              <w:keepNext w:val="0"/>
              <w:keepLines w:val="0"/>
              <w:pageBreakBefore w:val="0"/>
              <w:kinsoku/>
              <w:wordWrap/>
              <w:overflowPunct/>
              <w:topLinePunct w:val="0"/>
              <w:autoSpaceDE/>
              <w:autoSpaceDN/>
              <w:bidi w:val="0"/>
              <w:adjustRightInd w:val="0"/>
              <w:snapToGrid w:val="0"/>
              <w:spacing w:line="240" w:lineRule="exact"/>
              <w:jc w:val="left"/>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006406AC">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1AFF9A8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AE040F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310342F0">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6DC569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6</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F7C095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基层法律服务工作者同时在基层法律服务所和律师事务所或者公证机构执业，或者同时在两个以上基层法律服务所执业</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7166D0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left"/>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五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五）同时在基层法律服务所和律师事务所或者公证机构执业，或者同时在两个以上基层法律服务所执业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6DC79F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0BEEDF5">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D58AC2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270CE27E">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409"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EA83D6D">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5E54C01">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EA7B815">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0D8AF62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67F0599F">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036A877">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011DD776">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D9682A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7</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4953E2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基层法律服务工作者无正当理由拒绝履行法律援助义务</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3E8BBA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left"/>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六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六）无正当理由拒绝履行法律援助义务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AE4C92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2F64285">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085653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4E1F7ACF">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214"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3608BD6">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055B1FE">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BBD9A2D">
            <w:pPr>
              <w:keepNext w:val="0"/>
              <w:keepLines w:val="0"/>
              <w:pageBreakBefore w:val="0"/>
              <w:kinsoku/>
              <w:wordWrap/>
              <w:overflowPunct/>
              <w:topLinePunct w:val="0"/>
              <w:autoSpaceDE/>
              <w:autoSpaceDN/>
              <w:bidi w:val="0"/>
              <w:adjustRightInd w:val="0"/>
              <w:snapToGrid w:val="0"/>
              <w:spacing w:line="240" w:lineRule="exact"/>
              <w:jc w:val="left"/>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1ED60015">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50FE411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8B937BF">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0F3D5DC1">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871C4A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8</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6BCCA2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基层法律服务工作者明知委托人的要求是非法的、欺诈性的，仍为其提供帮助</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36E15E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left"/>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七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七）明知委托人的要求是非法的、欺诈性的，仍为其提供帮助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240A778">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E8105E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0F4CBA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78567439">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364"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35758C8">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28AD79A">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98B28BB">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2F70A233">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5B8B954F">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0A64E51">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22B948EA">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227296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9</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86334D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基层法律服务工作者在代理活动中超越代理权限或者滥用代理权，侵犯被代理人合法利益</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58449B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八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八）在代理活动中超越代理权限或者滥用代理权，侵犯被代理人合法利益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47B2608">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19A7E48">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F4C3D0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662C8145">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944"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681D5B2">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3B10BE4">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E2CB877">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133503E5">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2856E26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077096C">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1D419B7C">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6DE3A9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10</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F5A44A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基层法律服务工作者在同一诉讼、仲裁、行政裁决中，为双方当事人或者有利害关系的第三人代理</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EC5196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aps w:val="0"/>
                <w:color w:val="000000"/>
                <w:spacing w:val="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《基层法律服务工作者管理办法》第四十六条第一款第九项：基层法律服务工作者有下列行为之一的，由所在地县级司法行政机关或者直辖市的区（县）司法行政机关予以警告；有违</w:t>
            </w:r>
          </w:p>
          <w:p w14:paraId="22D3C47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法所得的，依照法律、法规的规定没收违法所得，并由设区的市级或者直辖市的区（县）司法行政机关处以违法所得三倍以下的罚款，罚款数额最高为三万元：（九）在同一诉讼、仲裁、行政裁决中，为双方当事人或者有利害关系的第三人代理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BA13B8D">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46E84E7">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B516FE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174D9903">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649"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B2171A5">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BF29880">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7A463A7">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671CC51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1B622236">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DFAABF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221C4776">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385630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11</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11A072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基层法律服务工作者不遵守与当事人订立的委托合同，拒绝或者疏怠履行法律服务义务，损害委托人合法权益</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A3B452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十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十）不遵守与当事人订立的委托合同，拒绝或者疏怠履行法律服务义务，损害委托人合法权益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0271FFF">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FF55D6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DDD9B3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12932FED">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764"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6A173F6">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8C57D16">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28EE38C">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5A62EC0D">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366DC486">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C0EDC8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3AB17993">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67B730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12</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1A15B6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基层法律服务工作者在调解、代理、法律顾问等执业活动中压制、侮辱、报复当事人，造成恶劣影响</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375F6D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十一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十一）在调解、代理、法律顾问等执业活动中压制、侮辱、报复当事人，造成恶劣影响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4F5D56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F992E5C">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F8AE98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057F1B19">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604"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CD4C1CB">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0A697B1">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5120A54">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01A05150">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63B76690">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9D9003F">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455F179C">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D083BD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13</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81795F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基层法律服务工作者不按规定接受年度考核，或者在年度考核中弄虚作假</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454911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十二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十二）不按规定接受年度考核，或者在年度考核中弄虚作假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F4CA59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6C15A01">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D3E201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5B5324DA">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719"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165E101">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8354F60">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CD69A0F">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2B9A9830">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682CAB81">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47A874C">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7BFBEDAB">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E9ECA5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14</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1F8DB4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基层法律服务工作者泄露在执业活动中知悉的商业秘密或者个人隐私</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2045A3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十三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十三）泄露在执业活动中知悉的商业秘密或者个人隐私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516024F">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E5818F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4354F9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28FC48A1">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469"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EF15AD9">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24EC9E8">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91E07A0">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4F11E75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53678837">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B12989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248355CB">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8BD461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15</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DD15B7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left"/>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w w:val="95"/>
                <w:sz w:val="24"/>
                <w:szCs w:val="24"/>
                <w:highlight w:val="none"/>
              </w:rPr>
              <w:t>基层法律服务工作者以影响案件审判、仲裁或者行政裁定结果为目的，违反规定会见有关司法、仲裁或者行政执法人员，或者向其请客送礼</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F25A34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十四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十四）以影响案件审判、仲裁或者行政裁定结果为目的，违反规定会见有关司法、仲裁或者行政执法人员，或者向其请客送礼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8082903">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9BABE35">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AFE5CB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151D56C3">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124"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7C88494">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5ECA234">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AA3DAD1">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4A0B64B6">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5EF3C6E0">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6ED42B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50562AD3">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B6B3FC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16</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B23F9E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基层法律服务工作者私自接受委托承办法律事务，或者私自收取费用，或者向委托人索要额外报酬</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5A995D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十五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十五）私自接受委托承办法律事务，或者私自收取费用，或者向委托人索要额外报酬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C07718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6D9F0B7">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C5A570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245E3E0F">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259"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FB9DC06">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C740FF5">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1B3A80F">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69541571">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719E4EC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E51D27C">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35CC75D0">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49840D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17</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F063B3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基层法律服务工作者在代理活动中收受对方当事人、利害关系人财物或者与其恶意串通，损害委托人合法权益</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0706A2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十六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十六）在代理活动中收受对方当事人、利害关系人财物或者与其恶意串通，损害委托人合法权益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9BEF6D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9DA63A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60478C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003D1254">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139"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EBF8A73">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8871ACE">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E2653DD">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6BFB4FD4">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36DE67F1">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ABC9B75">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26DA2932">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E982C4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18</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AAD83B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基层法律服务工作者违反司法、仲裁、行政执法工作有关制度规定，干扰或者阻碍司法、仲裁、行政执法工作正常进行</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DC187D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十七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十七）违反司法、仲裁、行政执法工作有关制度规定，干扰或者阻碍司法、仲裁、行政执法工作正常进行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91F556D">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C65231C">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67BC27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5640EF0F">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544"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94806C6">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28688AD">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77BBB83">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7051A5C4">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4D97AA01">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ECEADFC">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76707ADC">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1C6FD5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19</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297267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基层法律服务工作者泄露在执业活动中知悉的国家秘密</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7D8FA3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十八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十八）泄露在执业活动中知悉的国家秘密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BD9277D">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128404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A2EE28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19A2CE82">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019"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A80B556">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10C808A">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31EA79E">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64C2B6E3">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288DFD6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CFD3733">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2DE846B0">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8957AF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20</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5C8549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基层法律服务工作者伪造、隐匿、毁灭证据或者故意协助委托人伪造、隐匿、毁灭证据</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CA1AF7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十九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十九）伪造、隐匿、毁灭证据或者故意协助委托人伪造、隐匿、毁灭证据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CAA795D">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0957017">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633E60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5833824B">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574"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30923FC">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D8AAEB6">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BA17421">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4570F90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76545EAF">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F85B058">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79EB1E9B">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9A824C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21</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FF7ABD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基层法律服务工作者向有关司法人员、仲裁员或者行政执法人员行贿、介绍贿赂，或者指使、诱导委托人向其行贿</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358A8B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二十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二十）向有关司法人员、仲裁员或者行政执法人员行贿、介绍贿赂，或者指使、诱导委托人向其行贿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12C79E0">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0DA822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6D9E0C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6042A4D7">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619"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9810398">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490EC34">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1AD18F4">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47851656">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0537A6F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E1253D7">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03C0B831">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438724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22</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8CE83C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法律、法规、规章规定应予处罚的其他行为</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63F8B0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工作者管理办法》第四十六条第一款第二十一项：基层法律服务工作者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二十一）法律、法规、规章规定应予处罚的其他行为。</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4595AD0">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AFFF8ED">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85897C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36111647">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184"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D53CD36">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BF38F12">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333884A">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04189C1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398EB32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D208F63">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0D7CDAD3">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61415F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olor w:val="000000"/>
                <w:sz w:val="24"/>
                <w:szCs w:val="24"/>
                <w:highlight w:val="none"/>
                <w:lang w:val="en-US" w:eastAsia="zh-CN"/>
              </w:rPr>
              <w:t>23</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E59CD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基层法律服务所超越业务范围和诉讼代理执业区域</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6B4C7F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所管理办法》第三十六条第一项：基层法律服务所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一）超越业务范围和诉讼代理执业区域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5599523">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609C424">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BCD92F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48E7668D">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016"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179E53A">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47A9FE5">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99F4761">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2DA5C07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23A1E59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0E88B4B">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494D72CD">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0EF7E9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24</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6458BC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基层法律服务所违反规定不以基层法律服务所名义统一接受委托、统一收取服务费，不向委托人出具有效收费凭证</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D56A1B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所管理办法》第三十六条第二项：基层法律服务所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二）违反规定不以基层法律服务所名义统一接受委托、统一收取服务费，不向委托人出具有效收费凭证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84256AC">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0D5125D">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8E1039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19F05C13">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469"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9C1FB8C">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2F2B00E">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562C022">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3E7ED03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2047F02B">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7AB156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5B92576C">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FC1D59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25</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02CA19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基层法律服务所冒用律师事务所名义执业</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F979CF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所管理办法》第三十六条第三项：基层法律服务所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三）冒用律师事务所名义执业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69E6AE1">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929C30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EC659D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45EB3939">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001"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1533CF8">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9943269">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18BAF57">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4D7601A5">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2A5E490D">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5D5165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654943BF">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126D2B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olor w:val="000000"/>
                <w:sz w:val="24"/>
                <w:szCs w:val="24"/>
                <w:highlight w:val="none"/>
                <w:lang w:val="en-US" w:eastAsia="zh-CN"/>
              </w:rPr>
              <w:t>26</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0ACB06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基层法律服务所以贬损他人、抬高自己、虚假承诺或者支付介绍费等不正当手段争揽业务</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D822FF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所管理办法》第三十六条第四项：基层法律服务所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四）以贬损他人、抬高自己、虚假承诺或者支付介绍费等不正当手段争揽业务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8DB51D7">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8C88CE8">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D3863E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50C4BE60">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544"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68C3381">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4C577F3">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B8725B7">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7BEF9E2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69126C96">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3DA0C13">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694037CF">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818065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27</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7DAA44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基层法律服务所伪造、涂改、抵押、出租、出借本所执业证</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B514B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所管理办法》第三十六条第五项：基层法律服务所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五）伪造、涂改、抵押、出租、出借本所执业证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6E6F125">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4F9BA60">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9B14B7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7DD4CC88">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166"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8B7EBAD">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3A4BF90">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B1CB988">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6C627F3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1406688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1197F1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214CECE8">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9D64D9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28</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BB2219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基层法律服务所违反规定变更本所名称、法定代表人或者负责人、合伙人、住所和章程</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0E54E5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所管理办法》第三十六条第六项：基层法律服务所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六）违反规定变更本所名称、法定代表人或者负责人、合伙人、住所和章程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09EFFD3">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768E2E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DE836B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69DE5515">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571"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580DA90">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B98FAD5">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2449CAF">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2291B4EB">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273DA49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52781C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23A16E2A">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B6AC06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29</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E7CE31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基层法律服务所不按规定接受年度考核，或者在年度考核中弄虚作假</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556A6D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所管理办法》第三十六条第七项：基层法律服务所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七）不按规定接受年度考核，或者在年度考核中弄虚作假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9053BC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3F6FE11">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C60BD3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612F6FD3">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496"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21F147C">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82B706C">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5442366">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0947E5A3">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67EFD9CB">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A407071">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510C0336">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304E6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30</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8AC918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基层法律服务所违反财务管理规定，私分、挪用或者以其他方式非法处置本所资产</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C05EAC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所管理办法》第三十六条第八项：基层法律服务所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八）违反财务管理规定，私分、挪用或者以其他方式非法处置本所资产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A42F260">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998431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27B7BD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32CC2F4F">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091"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55388A0">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4902ADF">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D91B9AB">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41A4041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6F2955E8">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06D15C7">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1B9B8626">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7E38AE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31</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41BB9B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基层法律服务所聘用未获准基层法律服务工作者执业的人员以基层法律服务工作者名义承办业务</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C17126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所管理办法》第三十六条第九项：基层法律服务所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九）聘用未获准基层法律服务工作者执业的人员以基层法律服务工作者名义承办业务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859352C">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C23C95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0E4455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5E82FB8C">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244"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415269F">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5463E37">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F7E2CF5">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0DAD84F6">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6A7E462A">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173B464">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700308AC">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2C31E3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32</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AD4F4E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基层法律服务所放纵、包庇本所基层法律服务工作者的违法违纪行为</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3847C9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所管理办法》第三十六条第十项：基层法律服务所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十）放纵、包庇本所基层法律服务工作者的违法违纪行为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34AD28B">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E32F006">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2C220D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4E86DCE7">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226"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8ABF5BC">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4446AE1D">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1DC78DB">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470255D8">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7D28236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CA00E66">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51F09F28">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ECCDAF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33</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D5E7A9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基层法律服务所内部管理混乱，无法正常开展业务</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71A80A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所管理办法》第三十六条第十一项：基层法律服务所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十一）内部管理混乱，无法正常开展业务的。</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04D2996">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5A158D9">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5FC73E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5BD5291E">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526"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29F41007">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021639F">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1ABDA1A">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2"/>
                <w:szCs w:val="22"/>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70C9D88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2B588942">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ED81BA6">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0C21F789">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1536" w:hRule="atLeast"/>
        </w:trPr>
        <w:tc>
          <w:tcPr>
            <w:tcW w:w="561"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7EBDCF0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center"/>
              <w:rPr>
                <w:rFonts w:hint="default" w:ascii="Times New Roman" w:hAnsi="Times New Roman" w:eastAsia="仿宋_GB2312" w:cs="Times New Roman"/>
                <w:i w:val="0"/>
                <w:color w:val="000000"/>
                <w:sz w:val="24"/>
                <w:szCs w:val="24"/>
                <w:highlight w:val="none"/>
                <w:lang w:val="en-US" w:eastAsia="zh-CN"/>
              </w:rPr>
            </w:pPr>
            <w:r>
              <w:rPr>
                <w:rFonts w:hint="eastAsia" w:eastAsia="仿宋_GB2312" w:cs="Times New Roman"/>
                <w:i w:val="0"/>
                <w:caps w:val="0"/>
                <w:color w:val="000000"/>
                <w:spacing w:val="0"/>
                <w:sz w:val="24"/>
                <w:szCs w:val="24"/>
                <w:highlight w:val="none"/>
                <w:lang w:val="en-US" w:eastAsia="zh-CN"/>
              </w:rPr>
              <w:t>34</w:t>
            </w:r>
          </w:p>
        </w:tc>
        <w:tc>
          <w:tcPr>
            <w:tcW w:w="1160"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6CFE5C4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4"/>
                <w:szCs w:val="24"/>
                <w:highlight w:val="none"/>
              </w:rPr>
            </w:pPr>
            <w:r>
              <w:rPr>
                <w:rFonts w:hint="default" w:ascii="Times New Roman" w:hAnsi="Times New Roman" w:eastAsia="仿宋_GB2312" w:cs="Times New Roman"/>
                <w:i w:val="0"/>
                <w:caps w:val="0"/>
                <w:color w:val="000000"/>
                <w:spacing w:val="0"/>
                <w:sz w:val="24"/>
                <w:szCs w:val="24"/>
                <w:highlight w:val="none"/>
              </w:rPr>
              <w:t>法律、法规、规章规定应予处罚的其他行为</w:t>
            </w:r>
          </w:p>
        </w:tc>
        <w:tc>
          <w:tcPr>
            <w:tcW w:w="3544" w:type="dxa"/>
            <w:vMerge w:val="restart"/>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29875D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right="0"/>
              <w:jc w:val="both"/>
              <w:rPr>
                <w:rFonts w:hint="default" w:ascii="Times New Roman" w:hAnsi="Times New Roman" w:eastAsia="仿宋_GB2312" w:cs="Times New Roman"/>
                <w:i w:val="0"/>
                <w:color w:val="000000"/>
                <w:sz w:val="22"/>
                <w:szCs w:val="22"/>
                <w:highlight w:val="none"/>
              </w:rPr>
            </w:pPr>
            <w:r>
              <w:rPr>
                <w:rFonts w:hint="default" w:ascii="Times New Roman" w:hAnsi="Times New Roman" w:eastAsia="仿宋_GB2312" w:cs="Times New Roman"/>
                <w:i w:val="0"/>
                <w:caps w:val="0"/>
                <w:color w:val="000000"/>
                <w:spacing w:val="0"/>
                <w:sz w:val="22"/>
                <w:szCs w:val="22"/>
                <w:highlight w:val="none"/>
              </w:rPr>
              <w:t>《基层法律服务所管理办法》第三十六条第十二项：基层法律服务所有下列行为之一的，由所在地县级司法行政机关或者直辖市的区（县）司法行政机关予以警告；有违法所得的，依照法律、法规的规定没收违法所得，并由设区的市级或者直辖市的区（县）司法行政机关处以违法所得三倍以下的罚款，罚款数额最高为三万元：（十二）法律、法规、规章规定应予处罚的其他行为。</w:t>
            </w:r>
          </w:p>
        </w:tc>
        <w:tc>
          <w:tcPr>
            <w:tcW w:w="76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DC2BFC7">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1</w:t>
            </w:r>
          </w:p>
        </w:tc>
        <w:tc>
          <w:tcPr>
            <w:tcW w:w="3795"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C932C3E">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无违法所得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DDBD77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210" w:beforeAutospacing="0" w:after="210" w:afterAutospacing="0" w:line="240" w:lineRule="exact"/>
              <w:ind w:left="0" w:leftChars="0" w:right="0" w:rightChars="0"/>
              <w:jc w:val="center"/>
              <w:rPr>
                <w:rFonts w:hint="default" w:ascii="Times New Roman" w:hAnsi="Times New Roman" w:eastAsia="仿宋_GB2312" w:cs="Times New Roman"/>
                <w:i w:val="0"/>
                <w:color w:val="000000"/>
                <w:kern w:val="0"/>
                <w:sz w:val="24"/>
                <w:szCs w:val="24"/>
                <w:highlight w:val="none"/>
                <w:lang w:val="en-US" w:eastAsia="zh-CN" w:bidi="ar"/>
              </w:rPr>
            </w:pPr>
            <w:r>
              <w:rPr>
                <w:rFonts w:hint="default" w:ascii="Times New Roman" w:hAnsi="Times New Roman" w:eastAsia="仿宋_GB2312" w:cs="Times New Roman"/>
                <w:i w:val="0"/>
                <w:caps w:val="0"/>
                <w:color w:val="000000"/>
                <w:spacing w:val="0"/>
                <w:sz w:val="24"/>
                <w:szCs w:val="24"/>
                <w:highlight w:val="none"/>
              </w:rPr>
              <w:t>给予警告处罚</w:t>
            </w:r>
          </w:p>
        </w:tc>
      </w:tr>
      <w:tr w14:paraId="65D34CD7">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CellMar>
            <w:top w:w="0" w:type="dxa"/>
            <w:left w:w="0" w:type="dxa"/>
            <w:bottom w:w="0" w:type="dxa"/>
            <w:right w:w="0" w:type="dxa"/>
          </w:tblCellMar>
        </w:tblPrEx>
        <w:trPr>
          <w:trHeight w:val="2121" w:hRule="atLeast"/>
        </w:trPr>
        <w:tc>
          <w:tcPr>
            <w:tcW w:w="561"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37B93615">
            <w:pPr>
              <w:keepNext w:val="0"/>
              <w:keepLines w:val="0"/>
              <w:pageBreakBefore w:val="0"/>
              <w:kinsoku/>
              <w:wordWrap/>
              <w:overflowPunct/>
              <w:topLinePunct w:val="0"/>
              <w:autoSpaceDE/>
              <w:autoSpaceDN/>
              <w:bidi w:val="0"/>
              <w:adjustRightInd w:val="0"/>
              <w:snapToGrid w:val="0"/>
              <w:spacing w:line="240" w:lineRule="exact"/>
              <w:jc w:val="center"/>
              <w:rPr>
                <w:rFonts w:hint="default" w:ascii="Times New Roman" w:hAnsi="Times New Roman" w:eastAsia="仿宋_GB2312" w:cs="Times New Roman"/>
                <w:i w:val="0"/>
                <w:caps w:val="0"/>
                <w:color w:val="000000"/>
                <w:spacing w:val="0"/>
                <w:sz w:val="24"/>
                <w:szCs w:val="24"/>
                <w:highlight w:val="none"/>
              </w:rPr>
            </w:pPr>
          </w:p>
        </w:tc>
        <w:tc>
          <w:tcPr>
            <w:tcW w:w="1160"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13936086">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3544" w:type="dxa"/>
            <w:vMerge w:val="continue"/>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5053A356">
            <w:pPr>
              <w:keepNext w:val="0"/>
              <w:keepLines w:val="0"/>
              <w:pageBreakBefore w:val="0"/>
              <w:kinsoku/>
              <w:wordWrap/>
              <w:overflowPunct/>
              <w:topLinePunct w:val="0"/>
              <w:autoSpaceDE/>
              <w:autoSpaceDN/>
              <w:bidi w:val="0"/>
              <w:adjustRightInd w:val="0"/>
              <w:snapToGrid w:val="0"/>
              <w:spacing w:line="240" w:lineRule="exact"/>
              <w:jc w:val="both"/>
              <w:rPr>
                <w:rFonts w:hint="default" w:ascii="Times New Roman" w:hAnsi="Times New Roman" w:eastAsia="仿宋_GB2312" w:cs="Times New Roman"/>
                <w:i w:val="0"/>
                <w:caps w:val="0"/>
                <w:color w:val="000000"/>
                <w:spacing w:val="0"/>
                <w:sz w:val="24"/>
                <w:szCs w:val="24"/>
                <w:highlight w:val="none"/>
              </w:rPr>
            </w:pPr>
          </w:p>
        </w:tc>
        <w:tc>
          <w:tcPr>
            <w:tcW w:w="765" w:type="dxa"/>
            <w:tcBorders>
              <w:top w:val="outset" w:color="000000" w:sz="6" w:space="0"/>
              <w:left w:val="outset" w:color="000000" w:sz="6" w:space="0"/>
              <w:right w:val="outset" w:color="000000" w:sz="6" w:space="0"/>
            </w:tcBorders>
            <w:shd w:val="clear" w:color="auto" w:fill="FFFFFF"/>
            <w:noWrap w:val="0"/>
            <w:vAlign w:val="center"/>
          </w:tcPr>
          <w:p w14:paraId="5E234C03">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2</w:t>
            </w:r>
          </w:p>
        </w:tc>
        <w:tc>
          <w:tcPr>
            <w:tcW w:w="3795" w:type="dxa"/>
            <w:tcBorders>
              <w:top w:val="outset" w:color="000000" w:sz="6" w:space="0"/>
              <w:left w:val="outset" w:color="000000" w:sz="6" w:space="0"/>
              <w:right w:val="outset" w:color="000000" w:sz="6" w:space="0"/>
            </w:tcBorders>
            <w:shd w:val="clear" w:color="auto" w:fill="FFFFFF"/>
            <w:noWrap w:val="0"/>
            <w:vAlign w:val="center"/>
          </w:tcPr>
          <w:p w14:paraId="48E55ED6">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有违法所得</w:t>
            </w:r>
          </w:p>
        </w:tc>
        <w:tc>
          <w:tcPr>
            <w:tcW w:w="4290" w:type="dxa"/>
            <w:tcBorders>
              <w:top w:val="outset" w:color="000000" w:sz="6" w:space="0"/>
              <w:left w:val="outset" w:color="000000" w:sz="6" w:space="0"/>
              <w:bottom w:val="outset" w:color="000000" w:sz="6" w:space="0"/>
              <w:right w:val="outset" w:color="000000" w:sz="6" w:space="0"/>
            </w:tcBorders>
            <w:shd w:val="clear" w:color="auto" w:fill="FFFFFF"/>
            <w:noWrap w:val="0"/>
            <w:vAlign w:val="center"/>
          </w:tcPr>
          <w:p w14:paraId="01AB4823">
            <w:pPr>
              <w:keepNext w:val="0"/>
              <w:keepLines w:val="0"/>
              <w:pageBreakBefore w:val="0"/>
              <w:widowControl/>
              <w:suppressLineNumbers w:val="0"/>
              <w:kinsoku/>
              <w:wordWrap/>
              <w:overflowPunct/>
              <w:topLinePunct w:val="0"/>
              <w:autoSpaceDE/>
              <w:autoSpaceDN/>
              <w:bidi w:val="0"/>
              <w:adjustRightInd w:val="0"/>
              <w:snapToGrid w:val="0"/>
              <w:spacing w:line="240" w:lineRule="exact"/>
              <w:jc w:val="center"/>
              <w:textAlignment w:val="center"/>
              <w:rPr>
                <w:rFonts w:hint="default" w:ascii="Times New Roman" w:hAnsi="Times New Roman" w:eastAsia="仿宋_GB2312" w:cs="Times New Roman"/>
                <w:i w:val="0"/>
                <w:color w:val="000000"/>
                <w:kern w:val="0"/>
                <w:sz w:val="24"/>
                <w:szCs w:val="24"/>
                <w:highlight w:val="none"/>
                <w:u w:val="none"/>
                <w:lang w:val="en-US" w:eastAsia="zh-CN" w:bidi="ar"/>
              </w:rPr>
            </w:pPr>
            <w:r>
              <w:rPr>
                <w:rFonts w:hint="default" w:ascii="Times New Roman" w:hAnsi="Times New Roman" w:eastAsia="仿宋_GB2312" w:cs="Times New Roman"/>
                <w:i w:val="0"/>
                <w:color w:val="000000"/>
                <w:kern w:val="0"/>
                <w:sz w:val="24"/>
                <w:szCs w:val="24"/>
                <w:highlight w:val="none"/>
                <w:u w:val="none"/>
                <w:lang w:val="en-US" w:eastAsia="zh-CN" w:bidi="ar"/>
              </w:rPr>
              <w:t>上报市局处理</w:t>
            </w:r>
          </w:p>
        </w:tc>
      </w:tr>
      <w:tr w14:paraId="1066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561" w:type="dxa"/>
            <w:vMerge w:val="restart"/>
            <w:noWrap w:val="0"/>
            <w:vAlign w:val="center"/>
          </w:tcPr>
          <w:p w14:paraId="14993A98">
            <w:pPr>
              <w:jc w:val="center"/>
            </w:pPr>
            <w:r>
              <w:rPr>
                <w:rFonts w:ascii="仿宋" w:hAnsi="仿宋" w:eastAsia="仿宋"/>
                <w:b w:val="0"/>
                <w:sz w:val="21"/>
              </w:rPr>
              <w:t>35</w:t>
            </w:r>
          </w:p>
        </w:tc>
        <w:tc>
          <w:tcPr>
            <w:tcW w:w="1160" w:type="dxa"/>
            <w:vMerge w:val="restart"/>
            <w:noWrap w:val="0"/>
            <w:vAlign w:val="center"/>
          </w:tcPr>
          <w:p w14:paraId="717EA8EA">
            <w:pPr>
              <w:jc w:val="both"/>
            </w:pPr>
            <w:r>
              <w:rPr>
                <w:rFonts w:ascii="仿宋" w:hAnsi="仿宋" w:eastAsia="仿宋"/>
                <w:b w:val="0"/>
                <w:sz w:val="21"/>
              </w:rPr>
              <w:t>对律师事务所、基层法律服务所无正当理由拒绝接受法律援助机构指派等情形的行政处罚</w:t>
            </w:r>
          </w:p>
        </w:tc>
        <w:tc>
          <w:tcPr>
            <w:tcW w:w="3544" w:type="dxa"/>
            <w:vMerge w:val="restart"/>
            <w:noWrap w:val="0"/>
            <w:vAlign w:val="center"/>
          </w:tcPr>
          <w:p w14:paraId="59A7034B">
            <w:pPr>
              <w:jc w:val="both"/>
            </w:pPr>
            <w:r>
              <w:rPr>
                <w:rFonts w:ascii="仿宋" w:hAnsi="仿宋" w:eastAsia="仿宋"/>
                <w:b w:val="0"/>
                <w:sz w:val="21"/>
              </w:rPr>
              <w:t>《法律援助法》第六十二条：律师事务所、基层法律服务所有下列情形之一的，由司法行政部门依法给予处罚：（一）无正当理由拒绝接受法律援助机构指派；（二）接受指派后，不及时安排本所律师、基层法律服务工作者办理法律援助事项或者拒绝为本所律师、基层法律服务工作者办理法律援助事项提供支持和保障；（三）纵容或者放任本所律师、基层法律服务工作者怠于履行法律援助义务或者擅自终止提供法律援助；（四）法律法规规定的其他情形。</w:t>
            </w:r>
          </w:p>
        </w:tc>
        <w:tc>
          <w:tcPr>
            <w:tcW w:w="765" w:type="dxa"/>
            <w:noWrap w:val="0"/>
            <w:vAlign w:val="center"/>
          </w:tcPr>
          <w:p w14:paraId="7993FC39">
            <w:pPr>
              <w:jc w:val="center"/>
            </w:pPr>
            <w:r>
              <w:rPr>
                <w:rFonts w:ascii="仿宋" w:hAnsi="仿宋" w:eastAsia="仿宋"/>
                <w:b w:val="0"/>
                <w:sz w:val="21"/>
              </w:rPr>
              <w:t>1</w:t>
            </w:r>
          </w:p>
        </w:tc>
        <w:tc>
          <w:tcPr>
            <w:tcW w:w="3795" w:type="dxa"/>
            <w:noWrap w:val="0"/>
            <w:vAlign w:val="center"/>
          </w:tcPr>
          <w:p w14:paraId="1DEA3A25">
            <w:pPr>
              <w:jc w:val="left"/>
              <w:rPr>
                <w:rFonts w:hint="eastAsia" w:eastAsia="宋体"/>
                <w:lang w:eastAsia="zh-CN"/>
              </w:rPr>
            </w:pPr>
            <w:r>
              <w:rPr>
                <w:rFonts w:hint="eastAsia" w:ascii="仿宋_GB2312" w:hAnsi="仿宋_GB2312" w:eastAsia="仿宋_GB2312" w:cs="仿宋_GB2312"/>
                <w:lang w:eastAsia="zh-CN"/>
              </w:rPr>
              <w:t>初次发生相关违法行为，经提醒督促能够及时纠正，未对受援人合法权益造成实际损害，当事人积极配合调查、态度较好</w:t>
            </w:r>
          </w:p>
        </w:tc>
        <w:tc>
          <w:tcPr>
            <w:tcW w:w="4290" w:type="dxa"/>
            <w:noWrap w:val="0"/>
            <w:vAlign w:val="center"/>
          </w:tcPr>
          <w:p w14:paraId="7F9514FA">
            <w:pPr>
              <w:jc w:val="center"/>
            </w:pPr>
            <w:r>
              <w:rPr>
                <w:rFonts w:hint="default" w:ascii="Times New Roman" w:hAnsi="Times New Roman" w:eastAsia="仿宋_GB2312" w:cs="Times New Roman"/>
                <w:i w:val="0"/>
                <w:caps w:val="0"/>
                <w:color w:val="000000"/>
                <w:spacing w:val="0"/>
                <w:sz w:val="24"/>
                <w:szCs w:val="24"/>
                <w:highlight w:val="none"/>
              </w:rPr>
              <w:t>给予警告、责令改正的处理</w:t>
            </w:r>
          </w:p>
        </w:tc>
      </w:tr>
      <w:tr w14:paraId="5D7F2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561" w:type="dxa"/>
            <w:vMerge w:val="continue"/>
            <w:noWrap w:val="0"/>
            <w:vAlign w:val="center"/>
          </w:tcPr>
          <w:p w14:paraId="2A5939B8">
            <w:pPr>
              <w:jc w:val="center"/>
            </w:pPr>
          </w:p>
        </w:tc>
        <w:tc>
          <w:tcPr>
            <w:tcW w:w="1160" w:type="dxa"/>
            <w:vMerge w:val="continue"/>
            <w:noWrap w:val="0"/>
            <w:vAlign w:val="center"/>
          </w:tcPr>
          <w:p w14:paraId="407F69AE">
            <w:pPr>
              <w:jc w:val="both"/>
            </w:pPr>
          </w:p>
        </w:tc>
        <w:tc>
          <w:tcPr>
            <w:tcW w:w="3544" w:type="dxa"/>
            <w:vMerge w:val="continue"/>
            <w:noWrap w:val="0"/>
            <w:vAlign w:val="center"/>
          </w:tcPr>
          <w:p w14:paraId="6C21C62B">
            <w:pPr>
              <w:jc w:val="both"/>
            </w:pPr>
          </w:p>
        </w:tc>
        <w:tc>
          <w:tcPr>
            <w:tcW w:w="765" w:type="dxa"/>
            <w:noWrap w:val="0"/>
            <w:vAlign w:val="center"/>
          </w:tcPr>
          <w:p w14:paraId="7D3A5880">
            <w:pPr>
              <w:jc w:val="center"/>
              <w:rPr>
                <w:rFonts w:hint="default" w:ascii="仿宋" w:hAnsi="仿宋" w:eastAsia="仿宋"/>
                <w:b w:val="0"/>
                <w:sz w:val="21"/>
                <w:lang w:val="en-US" w:eastAsia="zh-CN"/>
              </w:rPr>
            </w:pPr>
            <w:r>
              <w:rPr>
                <w:rFonts w:hint="eastAsia" w:ascii="仿宋" w:hAnsi="仿宋" w:eastAsia="仿宋"/>
                <w:b w:val="0"/>
                <w:sz w:val="21"/>
                <w:lang w:val="en-US" w:eastAsia="zh-CN"/>
              </w:rPr>
              <w:t>2</w:t>
            </w:r>
          </w:p>
        </w:tc>
        <w:tc>
          <w:tcPr>
            <w:tcW w:w="3795" w:type="dxa"/>
            <w:noWrap w:val="0"/>
            <w:vAlign w:val="center"/>
          </w:tcPr>
          <w:p w14:paraId="621522E3">
            <w:pPr>
              <w:jc w:val="left"/>
              <w:rPr>
                <w:rFonts w:ascii="仿宋" w:hAnsi="仿宋" w:eastAsia="仿宋"/>
                <w:b w:val="0"/>
                <w:sz w:val="21"/>
              </w:rPr>
            </w:pPr>
            <w:r>
              <w:rPr>
                <w:rFonts w:hint="eastAsia" w:ascii="仿宋" w:hAnsi="仿宋" w:eastAsia="仿宋"/>
                <w:b w:val="0"/>
                <w:sz w:val="21"/>
              </w:rPr>
              <w:t>再次出现同类违法行为，履职存在明显疏漏，产生一定负面影响，但尚未造成受援人权益重大损失，或是虽有违规行为事后予以补救</w:t>
            </w:r>
          </w:p>
        </w:tc>
        <w:tc>
          <w:tcPr>
            <w:tcW w:w="4290" w:type="dxa"/>
            <w:noWrap w:val="0"/>
            <w:vAlign w:val="center"/>
          </w:tcPr>
          <w:p w14:paraId="48DF2F4B">
            <w:pPr>
              <w:jc w:val="center"/>
              <w:rPr>
                <w:rFonts w:hint="eastAsia" w:ascii="仿宋" w:hAnsi="仿宋" w:eastAsia="仿宋"/>
                <w:b w:val="0"/>
                <w:sz w:val="21"/>
                <w:lang w:eastAsia="zh-CN"/>
              </w:rPr>
            </w:pPr>
            <w:r>
              <w:rPr>
                <w:rFonts w:hint="eastAsia" w:ascii="仿宋" w:hAnsi="仿宋" w:eastAsia="仿宋"/>
                <w:b w:val="0"/>
                <w:sz w:val="21"/>
                <w:lang w:eastAsia="zh-CN"/>
              </w:rPr>
              <w:t>给予一个月以上，二个月以下停业整顿</w:t>
            </w:r>
          </w:p>
        </w:tc>
      </w:tr>
      <w:tr w14:paraId="58F8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atLeast"/>
        </w:trPr>
        <w:tc>
          <w:tcPr>
            <w:tcW w:w="561" w:type="dxa"/>
            <w:vMerge w:val="continue"/>
            <w:noWrap w:val="0"/>
            <w:vAlign w:val="center"/>
          </w:tcPr>
          <w:p w14:paraId="17652C21">
            <w:pPr>
              <w:jc w:val="center"/>
            </w:pPr>
          </w:p>
        </w:tc>
        <w:tc>
          <w:tcPr>
            <w:tcW w:w="1160" w:type="dxa"/>
            <w:vMerge w:val="continue"/>
            <w:noWrap w:val="0"/>
            <w:vAlign w:val="center"/>
          </w:tcPr>
          <w:p w14:paraId="2DF9C779">
            <w:pPr>
              <w:jc w:val="both"/>
            </w:pPr>
          </w:p>
        </w:tc>
        <w:tc>
          <w:tcPr>
            <w:tcW w:w="3544" w:type="dxa"/>
            <w:vMerge w:val="continue"/>
            <w:noWrap w:val="0"/>
            <w:vAlign w:val="center"/>
          </w:tcPr>
          <w:p w14:paraId="240D419A">
            <w:pPr>
              <w:jc w:val="both"/>
            </w:pPr>
          </w:p>
        </w:tc>
        <w:tc>
          <w:tcPr>
            <w:tcW w:w="765" w:type="dxa"/>
            <w:noWrap w:val="0"/>
            <w:vAlign w:val="center"/>
          </w:tcPr>
          <w:p w14:paraId="14D1C41B">
            <w:pPr>
              <w:jc w:val="center"/>
              <w:rPr>
                <w:rFonts w:hint="default" w:ascii="仿宋" w:hAnsi="仿宋" w:eastAsia="仿宋"/>
                <w:b w:val="0"/>
                <w:sz w:val="21"/>
                <w:lang w:val="en-US" w:eastAsia="zh-CN"/>
              </w:rPr>
            </w:pPr>
            <w:r>
              <w:rPr>
                <w:rFonts w:hint="eastAsia" w:ascii="仿宋" w:hAnsi="仿宋" w:eastAsia="仿宋"/>
                <w:b w:val="0"/>
                <w:sz w:val="21"/>
                <w:lang w:val="en-US" w:eastAsia="zh-CN"/>
              </w:rPr>
              <w:t>3</w:t>
            </w:r>
          </w:p>
        </w:tc>
        <w:tc>
          <w:tcPr>
            <w:tcW w:w="3795" w:type="dxa"/>
            <w:noWrap w:val="0"/>
            <w:vAlign w:val="center"/>
          </w:tcPr>
          <w:p w14:paraId="1F7C1306">
            <w:pPr>
              <w:jc w:val="left"/>
              <w:rPr>
                <w:rFonts w:hint="eastAsia" w:ascii="仿宋" w:hAnsi="仿宋" w:eastAsia="仿宋"/>
                <w:b w:val="0"/>
                <w:sz w:val="21"/>
                <w:lang w:val="en-US" w:eastAsia="zh-CN"/>
              </w:rPr>
            </w:pPr>
            <w:r>
              <w:rPr>
                <w:rFonts w:hint="eastAsia" w:ascii="仿宋" w:hAnsi="仿宋" w:eastAsia="仿宋"/>
                <w:b w:val="0"/>
                <w:w w:val="95"/>
                <w:sz w:val="21"/>
                <w:lang w:val="en-US" w:eastAsia="zh-CN"/>
              </w:rPr>
              <w:t>屡教不改，多次实施违法行为，或是违规行为直接造成错过开庭、丧失时效等重大不利后果，办理特殊重点法律援助案件拒不履职，亦或是引发不良社会影响</w:t>
            </w:r>
          </w:p>
        </w:tc>
        <w:tc>
          <w:tcPr>
            <w:tcW w:w="4290" w:type="dxa"/>
            <w:noWrap w:val="0"/>
            <w:vAlign w:val="center"/>
          </w:tcPr>
          <w:p w14:paraId="50EAF8A3">
            <w:pPr>
              <w:jc w:val="center"/>
              <w:rPr>
                <w:rFonts w:hint="eastAsia" w:ascii="仿宋" w:hAnsi="仿宋" w:eastAsia="仿宋"/>
                <w:b w:val="0"/>
                <w:sz w:val="21"/>
                <w:lang w:val="en-US" w:eastAsia="zh-CN"/>
              </w:rPr>
            </w:pPr>
            <w:r>
              <w:rPr>
                <w:rFonts w:hint="eastAsia" w:ascii="仿宋" w:hAnsi="仿宋" w:eastAsia="仿宋"/>
                <w:b w:val="0"/>
                <w:sz w:val="21"/>
                <w:lang w:eastAsia="zh-CN"/>
              </w:rPr>
              <w:t>给予二个月以上，三个月以下停业整顿</w:t>
            </w:r>
          </w:p>
        </w:tc>
      </w:tr>
      <w:tr w14:paraId="377B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trPr>
        <w:tc>
          <w:tcPr>
            <w:tcW w:w="561" w:type="dxa"/>
            <w:vMerge w:val="restart"/>
            <w:noWrap w:val="0"/>
            <w:vAlign w:val="center"/>
          </w:tcPr>
          <w:p w14:paraId="1671339D">
            <w:pPr>
              <w:jc w:val="center"/>
            </w:pPr>
            <w:r>
              <w:rPr>
                <w:rFonts w:ascii="仿宋" w:hAnsi="仿宋" w:eastAsia="仿宋"/>
                <w:b w:val="0"/>
                <w:sz w:val="21"/>
              </w:rPr>
              <w:t>36</w:t>
            </w:r>
          </w:p>
        </w:tc>
        <w:tc>
          <w:tcPr>
            <w:tcW w:w="1160" w:type="dxa"/>
            <w:vMerge w:val="restart"/>
            <w:noWrap w:val="0"/>
            <w:vAlign w:val="center"/>
          </w:tcPr>
          <w:p w14:paraId="3779C506">
            <w:pPr>
              <w:keepNext w:val="0"/>
              <w:keepLines w:val="0"/>
              <w:pageBreakBefore w:val="0"/>
              <w:widowControl w:val="0"/>
              <w:kinsoku/>
              <w:wordWrap/>
              <w:overflowPunct/>
              <w:topLinePunct w:val="0"/>
              <w:autoSpaceDE/>
              <w:autoSpaceDN/>
              <w:bidi w:val="0"/>
              <w:adjustRightInd/>
              <w:snapToGrid/>
              <w:spacing w:line="240" w:lineRule="exact"/>
              <w:jc w:val="both"/>
              <w:textAlignment w:val="auto"/>
            </w:pPr>
            <w:r>
              <w:rPr>
                <w:rFonts w:ascii="仿宋" w:hAnsi="仿宋" w:eastAsia="仿宋"/>
                <w:b w:val="0"/>
                <w:sz w:val="21"/>
              </w:rPr>
              <w:t>对律师、基层法律服务工作者无正当理由拒绝履行法律援助义务或者怠于履行法律援助义务等情形的行政处罚</w:t>
            </w:r>
          </w:p>
        </w:tc>
        <w:tc>
          <w:tcPr>
            <w:tcW w:w="3544" w:type="dxa"/>
            <w:vMerge w:val="restart"/>
            <w:noWrap w:val="0"/>
            <w:vAlign w:val="center"/>
          </w:tcPr>
          <w:p w14:paraId="4AAB00C8">
            <w:pPr>
              <w:jc w:val="both"/>
            </w:pPr>
            <w:r>
              <w:rPr>
                <w:rFonts w:ascii="仿宋" w:hAnsi="仿宋" w:eastAsia="仿宋"/>
                <w:b w:val="0"/>
                <w:sz w:val="21"/>
              </w:rPr>
              <w:t>《法律援助法》第六十三条：律师、基层法律服务工作者有下列情形之一的，由司法行政部门依法给予处罚：（一）无正当理由拒绝履行法律援助义务或者怠于履行法律援助义务；（二）擅自终止提供法律援助；（三）收取受援人财物；（四）泄露法律援助过程中知悉的国家秘密、商业秘密和个人隐私；（五）法律法规规定的其他情形。</w:t>
            </w:r>
          </w:p>
          <w:p w14:paraId="23C3CB7C">
            <w:pPr>
              <w:jc w:val="both"/>
            </w:pPr>
          </w:p>
        </w:tc>
        <w:tc>
          <w:tcPr>
            <w:tcW w:w="765" w:type="dxa"/>
            <w:noWrap w:val="0"/>
            <w:vAlign w:val="center"/>
          </w:tcPr>
          <w:p w14:paraId="565A10AD">
            <w:pPr>
              <w:jc w:val="center"/>
            </w:pPr>
            <w:r>
              <w:rPr>
                <w:rFonts w:ascii="仿宋" w:hAnsi="仿宋" w:eastAsia="仿宋"/>
                <w:b w:val="0"/>
                <w:sz w:val="21"/>
              </w:rPr>
              <w:t>1</w:t>
            </w:r>
          </w:p>
        </w:tc>
        <w:tc>
          <w:tcPr>
            <w:tcW w:w="3795" w:type="dxa"/>
            <w:noWrap w:val="0"/>
            <w:vAlign w:val="center"/>
          </w:tcPr>
          <w:p w14:paraId="7941B264">
            <w:pPr>
              <w:jc w:val="left"/>
              <w:rPr>
                <w:rFonts w:hint="eastAsia" w:ascii="Times New Roman" w:hAnsi="Times New Roman" w:eastAsia="宋体" w:cs="Times New Roman"/>
                <w:kern w:val="2"/>
                <w:sz w:val="21"/>
                <w:szCs w:val="24"/>
                <w:lang w:val="en-US" w:eastAsia="zh-CN" w:bidi="ar-SA"/>
              </w:rPr>
            </w:pPr>
            <w:r>
              <w:rPr>
                <w:rFonts w:hint="eastAsia" w:ascii="仿宋_GB2312" w:hAnsi="仿宋_GB2312" w:eastAsia="仿宋_GB2312" w:cs="仿宋_GB2312"/>
                <w:lang w:eastAsia="zh-CN"/>
              </w:rPr>
              <w:t>初次发生相关违法行为，经提醒督促能够及时纠正，未对受援人合法权益造成实际损害，当事人积极配合调查、态度较好</w:t>
            </w:r>
          </w:p>
        </w:tc>
        <w:tc>
          <w:tcPr>
            <w:tcW w:w="4290" w:type="dxa"/>
            <w:noWrap w:val="0"/>
            <w:vAlign w:val="center"/>
          </w:tcPr>
          <w:p w14:paraId="41C24E43">
            <w:pPr>
              <w:jc w:val="center"/>
              <w:rPr>
                <w:rFonts w:ascii="Times New Roman" w:hAnsi="Times New Roman" w:eastAsia="宋体" w:cs="Times New Roman"/>
                <w:kern w:val="2"/>
                <w:sz w:val="21"/>
                <w:szCs w:val="24"/>
                <w:lang w:val="en-US" w:eastAsia="zh-CN" w:bidi="ar-SA"/>
              </w:rPr>
            </w:pPr>
            <w:r>
              <w:rPr>
                <w:rFonts w:hint="default" w:ascii="Times New Roman" w:hAnsi="Times New Roman" w:eastAsia="仿宋_GB2312" w:cs="Times New Roman"/>
                <w:i w:val="0"/>
                <w:caps w:val="0"/>
                <w:color w:val="000000"/>
                <w:spacing w:val="0"/>
                <w:sz w:val="24"/>
                <w:szCs w:val="24"/>
                <w:highlight w:val="none"/>
              </w:rPr>
              <w:t>给予警告、责令改正的处理</w:t>
            </w:r>
          </w:p>
        </w:tc>
      </w:tr>
      <w:tr w14:paraId="0B784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561" w:type="dxa"/>
            <w:vMerge w:val="continue"/>
            <w:noWrap w:val="0"/>
            <w:vAlign w:val="top"/>
          </w:tcPr>
          <w:p w14:paraId="71FFAF99">
            <w:pPr>
              <w:jc w:val="both"/>
            </w:pPr>
          </w:p>
        </w:tc>
        <w:tc>
          <w:tcPr>
            <w:tcW w:w="1160" w:type="dxa"/>
            <w:vMerge w:val="continue"/>
            <w:noWrap w:val="0"/>
            <w:vAlign w:val="center"/>
          </w:tcPr>
          <w:p w14:paraId="4B130E74">
            <w:pPr>
              <w:jc w:val="both"/>
            </w:pPr>
          </w:p>
        </w:tc>
        <w:tc>
          <w:tcPr>
            <w:tcW w:w="3544" w:type="dxa"/>
            <w:vMerge w:val="continue"/>
            <w:noWrap w:val="0"/>
            <w:vAlign w:val="center"/>
          </w:tcPr>
          <w:p w14:paraId="0943D700">
            <w:pPr>
              <w:jc w:val="both"/>
            </w:pPr>
          </w:p>
        </w:tc>
        <w:tc>
          <w:tcPr>
            <w:tcW w:w="765" w:type="dxa"/>
            <w:noWrap w:val="0"/>
            <w:vAlign w:val="center"/>
          </w:tcPr>
          <w:p w14:paraId="6B3591A2">
            <w:pPr>
              <w:jc w:val="center"/>
              <w:rPr>
                <w:rFonts w:hint="default" w:ascii="仿宋" w:hAnsi="仿宋" w:eastAsia="仿宋"/>
                <w:b w:val="0"/>
                <w:sz w:val="21"/>
                <w:lang w:val="en-US" w:eastAsia="zh-CN"/>
              </w:rPr>
            </w:pPr>
            <w:r>
              <w:rPr>
                <w:rFonts w:hint="eastAsia" w:ascii="仿宋" w:hAnsi="仿宋" w:eastAsia="仿宋"/>
                <w:b w:val="0"/>
                <w:sz w:val="21"/>
                <w:lang w:val="en-US" w:eastAsia="zh-CN"/>
              </w:rPr>
              <w:t>2</w:t>
            </w:r>
          </w:p>
        </w:tc>
        <w:tc>
          <w:tcPr>
            <w:tcW w:w="3795" w:type="dxa"/>
            <w:noWrap w:val="0"/>
            <w:vAlign w:val="center"/>
          </w:tcPr>
          <w:p w14:paraId="7089FD3B">
            <w:pPr>
              <w:jc w:val="left"/>
              <w:rPr>
                <w:rFonts w:ascii="仿宋" w:hAnsi="仿宋" w:eastAsia="仿宋" w:cs="Times New Roman"/>
                <w:b w:val="0"/>
                <w:kern w:val="2"/>
                <w:sz w:val="21"/>
                <w:szCs w:val="24"/>
                <w:lang w:val="en-US" w:eastAsia="zh-CN" w:bidi="ar-SA"/>
              </w:rPr>
            </w:pPr>
            <w:r>
              <w:rPr>
                <w:rFonts w:hint="eastAsia" w:ascii="仿宋" w:hAnsi="仿宋" w:eastAsia="仿宋"/>
                <w:b w:val="0"/>
                <w:sz w:val="21"/>
              </w:rPr>
              <w:t>再次出现同类违法行为，履职存在明显疏漏，产生一定负面影响，但尚未造成受援人权益重大损失，或是虽有违规行为事后予以补救</w:t>
            </w:r>
          </w:p>
        </w:tc>
        <w:tc>
          <w:tcPr>
            <w:tcW w:w="4290" w:type="dxa"/>
            <w:noWrap w:val="0"/>
            <w:vAlign w:val="center"/>
          </w:tcPr>
          <w:p w14:paraId="484B0F09">
            <w:pPr>
              <w:jc w:val="center"/>
              <w:rPr>
                <w:rFonts w:hint="eastAsia" w:ascii="仿宋" w:hAnsi="仿宋" w:eastAsia="仿宋" w:cs="Times New Roman"/>
                <w:b w:val="0"/>
                <w:kern w:val="2"/>
                <w:sz w:val="21"/>
                <w:szCs w:val="24"/>
                <w:lang w:val="en-US" w:eastAsia="zh-CN" w:bidi="ar-SA"/>
              </w:rPr>
            </w:pPr>
            <w:r>
              <w:rPr>
                <w:rFonts w:hint="eastAsia" w:ascii="仿宋" w:hAnsi="仿宋" w:eastAsia="仿宋"/>
                <w:b w:val="0"/>
                <w:sz w:val="21"/>
                <w:lang w:eastAsia="zh-CN"/>
              </w:rPr>
              <w:t>给予一个月以上，二个月以下停止执业</w:t>
            </w:r>
          </w:p>
        </w:tc>
      </w:tr>
      <w:tr w14:paraId="44853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561" w:type="dxa"/>
            <w:vMerge w:val="continue"/>
            <w:noWrap w:val="0"/>
            <w:vAlign w:val="top"/>
          </w:tcPr>
          <w:p w14:paraId="5A9D9658">
            <w:pPr>
              <w:jc w:val="both"/>
            </w:pPr>
          </w:p>
        </w:tc>
        <w:tc>
          <w:tcPr>
            <w:tcW w:w="1160" w:type="dxa"/>
            <w:vMerge w:val="continue"/>
            <w:noWrap w:val="0"/>
            <w:vAlign w:val="center"/>
          </w:tcPr>
          <w:p w14:paraId="3D3D5706">
            <w:pPr>
              <w:jc w:val="both"/>
            </w:pPr>
          </w:p>
        </w:tc>
        <w:tc>
          <w:tcPr>
            <w:tcW w:w="3544" w:type="dxa"/>
            <w:vMerge w:val="continue"/>
            <w:noWrap w:val="0"/>
            <w:vAlign w:val="center"/>
          </w:tcPr>
          <w:p w14:paraId="35C1706C">
            <w:pPr>
              <w:jc w:val="both"/>
            </w:pPr>
          </w:p>
        </w:tc>
        <w:tc>
          <w:tcPr>
            <w:tcW w:w="765" w:type="dxa"/>
            <w:noWrap w:val="0"/>
            <w:vAlign w:val="center"/>
          </w:tcPr>
          <w:p w14:paraId="28A7EC54">
            <w:pPr>
              <w:jc w:val="center"/>
              <w:rPr>
                <w:rFonts w:hint="default" w:ascii="仿宋" w:hAnsi="仿宋" w:eastAsia="仿宋"/>
                <w:b w:val="0"/>
                <w:sz w:val="21"/>
                <w:lang w:val="en-US" w:eastAsia="zh-CN"/>
              </w:rPr>
            </w:pPr>
            <w:r>
              <w:rPr>
                <w:rFonts w:hint="eastAsia" w:ascii="仿宋" w:hAnsi="仿宋" w:eastAsia="仿宋"/>
                <w:b w:val="0"/>
                <w:sz w:val="21"/>
                <w:lang w:val="en-US" w:eastAsia="zh-CN"/>
              </w:rPr>
              <w:t>3</w:t>
            </w:r>
          </w:p>
        </w:tc>
        <w:tc>
          <w:tcPr>
            <w:tcW w:w="3795" w:type="dxa"/>
            <w:noWrap w:val="0"/>
            <w:vAlign w:val="center"/>
          </w:tcPr>
          <w:p w14:paraId="42DB2926">
            <w:pPr>
              <w:jc w:val="both"/>
              <w:rPr>
                <w:rFonts w:hint="eastAsia" w:ascii="仿宋" w:hAnsi="仿宋" w:eastAsia="仿宋"/>
                <w:b w:val="0"/>
                <w:sz w:val="21"/>
                <w:lang w:val="en-US" w:eastAsia="zh-CN"/>
              </w:rPr>
            </w:pPr>
            <w:r>
              <w:rPr>
                <w:rFonts w:hint="eastAsia" w:ascii="仿宋" w:hAnsi="仿宋" w:eastAsia="仿宋"/>
                <w:b w:val="0"/>
                <w:w w:val="95"/>
                <w:sz w:val="21"/>
                <w:lang w:val="en-US" w:eastAsia="zh-CN"/>
              </w:rPr>
              <w:t>屡教不改，多次实施违法行为，或是违规行为直接造成错过开庭、丧失时效等重大不利后果，办理特殊重点法律援助案件拒不履职，亦或是引发不良社会影响</w:t>
            </w:r>
          </w:p>
        </w:tc>
        <w:tc>
          <w:tcPr>
            <w:tcW w:w="4290" w:type="dxa"/>
            <w:noWrap w:val="0"/>
            <w:vAlign w:val="center"/>
          </w:tcPr>
          <w:p w14:paraId="5810F7C9">
            <w:pPr>
              <w:jc w:val="both"/>
              <w:rPr>
                <w:rFonts w:hint="eastAsia" w:ascii="仿宋" w:hAnsi="仿宋" w:eastAsia="仿宋"/>
                <w:b w:val="0"/>
                <w:sz w:val="21"/>
                <w:lang w:val="en-US" w:eastAsia="zh-CN"/>
              </w:rPr>
            </w:pPr>
            <w:r>
              <w:rPr>
                <w:rFonts w:hint="eastAsia" w:ascii="仿宋" w:hAnsi="仿宋" w:eastAsia="仿宋"/>
                <w:b w:val="0"/>
                <w:sz w:val="21"/>
                <w:lang w:eastAsia="zh-CN"/>
              </w:rPr>
              <w:t>给予二个月以上，三个月以下停止执业</w:t>
            </w:r>
          </w:p>
        </w:tc>
      </w:tr>
      <w:tr w14:paraId="0C778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561" w:type="dxa"/>
            <w:vMerge w:val="restart"/>
            <w:noWrap w:val="0"/>
            <w:vAlign w:val="center"/>
          </w:tcPr>
          <w:p w14:paraId="4C606426">
            <w:pPr>
              <w:jc w:val="center"/>
            </w:pPr>
            <w:r>
              <w:rPr>
                <w:rFonts w:ascii="仿宋" w:hAnsi="仿宋" w:eastAsia="仿宋"/>
                <w:b w:val="0"/>
                <w:sz w:val="21"/>
              </w:rPr>
              <w:t>37</w:t>
            </w:r>
          </w:p>
        </w:tc>
        <w:tc>
          <w:tcPr>
            <w:tcW w:w="1160" w:type="dxa"/>
            <w:vMerge w:val="restart"/>
            <w:noWrap w:val="0"/>
            <w:vAlign w:val="center"/>
          </w:tcPr>
          <w:p w14:paraId="75915A1D">
            <w:pPr>
              <w:jc w:val="both"/>
            </w:pPr>
            <w:r>
              <w:rPr>
                <w:rFonts w:ascii="仿宋" w:hAnsi="仿宋" w:eastAsia="仿宋"/>
                <w:b w:val="0"/>
                <w:sz w:val="21"/>
              </w:rPr>
              <w:t>对受援人以欺骗或者其他不正当手段获得法律援助的行政处罚</w:t>
            </w:r>
          </w:p>
        </w:tc>
        <w:tc>
          <w:tcPr>
            <w:tcW w:w="3544" w:type="dxa"/>
            <w:vMerge w:val="restart"/>
            <w:noWrap w:val="0"/>
            <w:vAlign w:val="center"/>
          </w:tcPr>
          <w:p w14:paraId="68037751">
            <w:pPr>
              <w:jc w:val="both"/>
            </w:pPr>
            <w:r>
              <w:rPr>
                <w:rFonts w:ascii="仿宋" w:hAnsi="仿宋" w:eastAsia="仿宋"/>
                <w:b w:val="0"/>
                <w:sz w:val="21"/>
              </w:rPr>
              <w:t>《法律援助法》第六十四条：受援人以欺骗或者其他不正当手段获得法律援助的，由司法行政部门责令其支付已实施法律援助的费用，并处三千元以下罚款。</w:t>
            </w:r>
          </w:p>
        </w:tc>
        <w:tc>
          <w:tcPr>
            <w:tcW w:w="765" w:type="dxa"/>
            <w:noWrap w:val="0"/>
            <w:vAlign w:val="center"/>
          </w:tcPr>
          <w:p w14:paraId="614F75B3">
            <w:pPr>
              <w:jc w:val="center"/>
            </w:pPr>
            <w:r>
              <w:rPr>
                <w:rFonts w:ascii="仿宋" w:hAnsi="仿宋" w:eastAsia="仿宋"/>
                <w:b w:val="0"/>
                <w:sz w:val="21"/>
              </w:rPr>
              <w:t>1</w:t>
            </w:r>
          </w:p>
        </w:tc>
        <w:tc>
          <w:tcPr>
            <w:tcW w:w="3795" w:type="dxa"/>
            <w:noWrap w:val="0"/>
            <w:vAlign w:val="center"/>
          </w:tcPr>
          <w:p w14:paraId="2E5DE28E">
            <w:pPr>
              <w:jc w:val="both"/>
            </w:pPr>
            <w:r>
              <w:rPr>
                <w:rFonts w:hint="eastAsia" w:ascii="仿宋" w:hAnsi="仿宋" w:eastAsia="仿宋"/>
                <w:b w:val="0"/>
                <w:sz w:val="21"/>
              </w:rPr>
              <w:t>初次隐瞒经济状况、伪造少量材料骗取法律援助，案件尚未办结或者刚刚启动，没有造成较大公共资源损失，当事人主动认错配合调查</w:t>
            </w:r>
          </w:p>
        </w:tc>
        <w:tc>
          <w:tcPr>
            <w:tcW w:w="4290" w:type="dxa"/>
            <w:noWrap w:val="0"/>
            <w:vAlign w:val="center"/>
          </w:tcPr>
          <w:p w14:paraId="0639435A">
            <w:pPr>
              <w:jc w:val="both"/>
            </w:pPr>
            <w:r>
              <w:rPr>
                <w:rFonts w:hint="eastAsia" w:ascii="仿宋" w:hAnsi="仿宋" w:eastAsia="仿宋"/>
                <w:b w:val="0"/>
                <w:sz w:val="21"/>
              </w:rPr>
              <w:t>罚款1000元以下，同时责令支付法律援助实际开支费用</w:t>
            </w:r>
          </w:p>
        </w:tc>
      </w:tr>
      <w:tr w14:paraId="782F9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561" w:type="dxa"/>
            <w:vMerge w:val="continue"/>
            <w:noWrap w:val="0"/>
            <w:vAlign w:val="center"/>
          </w:tcPr>
          <w:p w14:paraId="39AD00FA">
            <w:pPr>
              <w:jc w:val="center"/>
            </w:pPr>
          </w:p>
        </w:tc>
        <w:tc>
          <w:tcPr>
            <w:tcW w:w="1160" w:type="dxa"/>
            <w:vMerge w:val="continue"/>
            <w:noWrap w:val="0"/>
            <w:vAlign w:val="center"/>
          </w:tcPr>
          <w:p w14:paraId="50AA615A">
            <w:pPr>
              <w:jc w:val="both"/>
            </w:pPr>
          </w:p>
        </w:tc>
        <w:tc>
          <w:tcPr>
            <w:tcW w:w="3544" w:type="dxa"/>
            <w:vMerge w:val="continue"/>
            <w:noWrap w:val="0"/>
            <w:vAlign w:val="center"/>
          </w:tcPr>
          <w:p w14:paraId="6DCF7336">
            <w:pPr>
              <w:jc w:val="both"/>
            </w:pPr>
          </w:p>
        </w:tc>
        <w:tc>
          <w:tcPr>
            <w:tcW w:w="765" w:type="dxa"/>
            <w:noWrap w:val="0"/>
            <w:vAlign w:val="center"/>
          </w:tcPr>
          <w:p w14:paraId="25C0051A">
            <w:pPr>
              <w:jc w:val="center"/>
              <w:rPr>
                <w:rFonts w:hint="default" w:ascii="仿宋" w:hAnsi="仿宋" w:eastAsia="仿宋"/>
                <w:b w:val="0"/>
                <w:sz w:val="21"/>
                <w:lang w:val="en-US" w:eastAsia="zh-CN"/>
              </w:rPr>
            </w:pPr>
            <w:r>
              <w:rPr>
                <w:rFonts w:hint="eastAsia" w:ascii="仿宋" w:hAnsi="仿宋" w:eastAsia="仿宋"/>
                <w:b w:val="0"/>
                <w:sz w:val="21"/>
                <w:lang w:val="en-US" w:eastAsia="zh-CN"/>
              </w:rPr>
              <w:t>2</w:t>
            </w:r>
          </w:p>
        </w:tc>
        <w:tc>
          <w:tcPr>
            <w:tcW w:w="3795" w:type="dxa"/>
            <w:noWrap w:val="0"/>
            <w:vAlign w:val="center"/>
          </w:tcPr>
          <w:p w14:paraId="150A8275">
            <w:pPr>
              <w:jc w:val="both"/>
              <w:rPr>
                <w:rFonts w:ascii="仿宋" w:hAnsi="仿宋" w:eastAsia="仿宋"/>
                <w:b w:val="0"/>
                <w:sz w:val="21"/>
              </w:rPr>
            </w:pPr>
            <w:r>
              <w:rPr>
                <w:rFonts w:hint="eastAsia" w:ascii="仿宋" w:hAnsi="仿宋" w:eastAsia="仿宋"/>
                <w:b w:val="0"/>
                <w:sz w:val="21"/>
              </w:rPr>
              <w:t>受援人虚构关键证明材料，案件已经办理完毕，占用较多法律援助资源，没有主动纠正，产生一定不良影响</w:t>
            </w:r>
          </w:p>
        </w:tc>
        <w:tc>
          <w:tcPr>
            <w:tcW w:w="4290" w:type="dxa"/>
            <w:noWrap w:val="0"/>
            <w:vAlign w:val="center"/>
          </w:tcPr>
          <w:p w14:paraId="1DFAA3E2">
            <w:pPr>
              <w:jc w:val="both"/>
              <w:rPr>
                <w:rFonts w:ascii="仿宋" w:hAnsi="仿宋" w:eastAsia="仿宋"/>
                <w:b w:val="0"/>
                <w:sz w:val="21"/>
              </w:rPr>
            </w:pPr>
            <w:r>
              <w:rPr>
                <w:rFonts w:hint="eastAsia" w:ascii="仿宋" w:hAnsi="仿宋" w:eastAsia="仿宋"/>
                <w:b w:val="0"/>
                <w:sz w:val="21"/>
              </w:rPr>
              <w:t>罚款1000元以上2000元以下，一并追缴法律援助办案费用</w:t>
            </w:r>
          </w:p>
        </w:tc>
      </w:tr>
      <w:tr w14:paraId="34360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561" w:type="dxa"/>
            <w:vMerge w:val="continue"/>
            <w:noWrap w:val="0"/>
            <w:vAlign w:val="center"/>
          </w:tcPr>
          <w:p w14:paraId="461CDF3C">
            <w:pPr>
              <w:jc w:val="center"/>
              <w:rPr>
                <w:rFonts w:ascii="仿宋" w:hAnsi="仿宋" w:eastAsia="仿宋"/>
                <w:b w:val="0"/>
                <w:sz w:val="21"/>
              </w:rPr>
            </w:pPr>
          </w:p>
        </w:tc>
        <w:tc>
          <w:tcPr>
            <w:tcW w:w="1160" w:type="dxa"/>
            <w:vMerge w:val="continue"/>
            <w:noWrap w:val="0"/>
            <w:vAlign w:val="center"/>
          </w:tcPr>
          <w:p w14:paraId="2F28EC0D">
            <w:pPr>
              <w:jc w:val="both"/>
              <w:rPr>
                <w:rFonts w:ascii="仿宋" w:hAnsi="仿宋" w:eastAsia="仿宋"/>
                <w:b w:val="0"/>
                <w:sz w:val="21"/>
              </w:rPr>
            </w:pPr>
          </w:p>
        </w:tc>
        <w:tc>
          <w:tcPr>
            <w:tcW w:w="3544" w:type="dxa"/>
            <w:vMerge w:val="continue"/>
            <w:noWrap w:val="0"/>
            <w:vAlign w:val="center"/>
          </w:tcPr>
          <w:p w14:paraId="62CF4936">
            <w:pPr>
              <w:jc w:val="both"/>
              <w:rPr>
                <w:rFonts w:ascii="仿宋" w:hAnsi="仿宋" w:eastAsia="仿宋"/>
                <w:b w:val="0"/>
                <w:sz w:val="21"/>
              </w:rPr>
            </w:pPr>
          </w:p>
        </w:tc>
        <w:tc>
          <w:tcPr>
            <w:tcW w:w="765" w:type="dxa"/>
            <w:noWrap w:val="0"/>
            <w:vAlign w:val="center"/>
          </w:tcPr>
          <w:p w14:paraId="5025C48F">
            <w:pPr>
              <w:jc w:val="center"/>
              <w:rPr>
                <w:rFonts w:hint="eastAsia" w:ascii="仿宋" w:hAnsi="仿宋" w:eastAsia="仿宋"/>
                <w:b w:val="0"/>
                <w:sz w:val="21"/>
                <w:lang w:val="en-US" w:eastAsia="zh-CN"/>
              </w:rPr>
            </w:pPr>
            <w:r>
              <w:rPr>
                <w:rFonts w:hint="eastAsia" w:ascii="仿宋" w:hAnsi="仿宋" w:eastAsia="仿宋"/>
                <w:b w:val="0"/>
                <w:sz w:val="21"/>
                <w:lang w:val="en-US" w:eastAsia="zh-CN"/>
              </w:rPr>
              <w:t>3</w:t>
            </w:r>
          </w:p>
        </w:tc>
        <w:tc>
          <w:tcPr>
            <w:tcW w:w="3795" w:type="dxa"/>
            <w:noWrap w:val="0"/>
            <w:vAlign w:val="center"/>
          </w:tcPr>
          <w:p w14:paraId="1D12D0B9">
            <w:pPr>
              <w:jc w:val="both"/>
              <w:rPr>
                <w:rFonts w:ascii="仿宋" w:hAnsi="仿宋" w:eastAsia="仿宋"/>
                <w:b w:val="0"/>
                <w:sz w:val="21"/>
              </w:rPr>
            </w:pPr>
            <w:r>
              <w:rPr>
                <w:rFonts w:hint="eastAsia" w:ascii="仿宋" w:hAnsi="仿宋" w:eastAsia="仿宋"/>
                <w:b w:val="0"/>
                <w:sz w:val="21"/>
              </w:rPr>
              <w:t>多次以欺骗手段骗取法律援助、伪造重要证据，涉案标的大，拒不配合调查，造成恶劣示范效应</w:t>
            </w:r>
          </w:p>
        </w:tc>
        <w:tc>
          <w:tcPr>
            <w:tcW w:w="4290" w:type="dxa"/>
            <w:noWrap w:val="0"/>
            <w:vAlign w:val="center"/>
          </w:tcPr>
          <w:p w14:paraId="63478EB4">
            <w:pPr>
              <w:jc w:val="both"/>
              <w:rPr>
                <w:rFonts w:ascii="仿宋" w:hAnsi="仿宋" w:eastAsia="仿宋"/>
                <w:b w:val="0"/>
                <w:sz w:val="21"/>
              </w:rPr>
            </w:pPr>
            <w:r>
              <w:rPr>
                <w:rFonts w:hint="eastAsia" w:ascii="仿宋" w:hAnsi="仿宋" w:eastAsia="仿宋"/>
                <w:b w:val="0"/>
                <w:sz w:val="21"/>
              </w:rPr>
              <w:t>罚款2000元以上3000元以下，顶格可处3000元，同时全额追缴法律援助相关费用 。</w:t>
            </w:r>
          </w:p>
        </w:tc>
      </w:tr>
      <w:tr w14:paraId="75D72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561" w:type="dxa"/>
            <w:vMerge w:val="restart"/>
            <w:noWrap w:val="0"/>
            <w:vAlign w:val="center"/>
          </w:tcPr>
          <w:p w14:paraId="735EB73D">
            <w:pPr>
              <w:jc w:val="center"/>
            </w:pPr>
            <w:r>
              <w:rPr>
                <w:rFonts w:ascii="仿宋" w:hAnsi="仿宋" w:eastAsia="仿宋"/>
                <w:b w:val="0"/>
                <w:sz w:val="21"/>
              </w:rPr>
              <w:t>38</w:t>
            </w:r>
          </w:p>
        </w:tc>
        <w:tc>
          <w:tcPr>
            <w:tcW w:w="1160" w:type="dxa"/>
            <w:vMerge w:val="restart"/>
            <w:noWrap w:val="0"/>
            <w:vAlign w:val="center"/>
          </w:tcPr>
          <w:p w14:paraId="27509948">
            <w:pPr>
              <w:jc w:val="both"/>
            </w:pPr>
            <w:r>
              <w:rPr>
                <w:rFonts w:ascii="仿宋" w:hAnsi="仿宋" w:eastAsia="仿宋"/>
                <w:b w:val="0"/>
                <w:sz w:val="21"/>
              </w:rPr>
              <w:t>对违反《法律援助法》规定，冒用法律援助名义提供法律服务并谋取利益的行政处罚</w:t>
            </w:r>
          </w:p>
        </w:tc>
        <w:tc>
          <w:tcPr>
            <w:tcW w:w="3544" w:type="dxa"/>
            <w:vMerge w:val="restart"/>
            <w:noWrap w:val="0"/>
            <w:vAlign w:val="center"/>
          </w:tcPr>
          <w:p w14:paraId="76031BE0">
            <w:pPr>
              <w:jc w:val="both"/>
            </w:pPr>
            <w:r>
              <w:rPr>
                <w:rFonts w:ascii="仿宋" w:hAnsi="仿宋" w:eastAsia="仿宋"/>
                <w:b w:val="0"/>
                <w:sz w:val="21"/>
              </w:rPr>
              <w:t>《法律援助法》第六十五条：违反本法规定，冒用法律援助名义提供法律服务并谋取利益的，由司法行政部门责令改正，没收违法所得，并处违法所得一倍以上三倍以下罚款。</w:t>
            </w:r>
          </w:p>
        </w:tc>
        <w:tc>
          <w:tcPr>
            <w:tcW w:w="765" w:type="dxa"/>
            <w:noWrap w:val="0"/>
            <w:vAlign w:val="center"/>
          </w:tcPr>
          <w:p w14:paraId="0DE27805">
            <w:pPr>
              <w:jc w:val="center"/>
            </w:pPr>
            <w:r>
              <w:rPr>
                <w:rFonts w:ascii="仿宋" w:hAnsi="仿宋" w:eastAsia="仿宋"/>
                <w:b w:val="0"/>
                <w:sz w:val="21"/>
              </w:rPr>
              <w:t>1</w:t>
            </w:r>
          </w:p>
        </w:tc>
        <w:tc>
          <w:tcPr>
            <w:tcW w:w="3795" w:type="dxa"/>
            <w:noWrap w:val="0"/>
            <w:vAlign w:val="center"/>
          </w:tcPr>
          <w:p w14:paraId="2A8388F1">
            <w:pPr>
              <w:jc w:val="both"/>
            </w:pPr>
            <w:r>
              <w:rPr>
                <w:rFonts w:hint="eastAsia" w:ascii="仿宋" w:hAnsi="仿宋" w:eastAsia="仿宋"/>
                <w:b w:val="0"/>
                <w:sz w:val="21"/>
              </w:rPr>
              <w:t>初次冒用法律援助名义，涉案违法所得数额较小，主动停止违法行为、配合调查，未造成较大群众误导。</w:t>
            </w:r>
          </w:p>
        </w:tc>
        <w:tc>
          <w:tcPr>
            <w:tcW w:w="4290" w:type="dxa"/>
            <w:noWrap w:val="0"/>
            <w:vAlign w:val="center"/>
          </w:tcPr>
          <w:p w14:paraId="366175D2">
            <w:pPr>
              <w:jc w:val="both"/>
            </w:pPr>
            <w:r>
              <w:rPr>
                <w:rFonts w:ascii="仿宋" w:hAnsi="仿宋" w:eastAsia="仿宋"/>
                <w:b w:val="0"/>
                <w:sz w:val="21"/>
              </w:rPr>
              <w:t>由司法行政部门责令改正，</w:t>
            </w:r>
            <w:r>
              <w:rPr>
                <w:rFonts w:hint="eastAsia" w:ascii="仿宋" w:hAnsi="仿宋" w:eastAsia="仿宋"/>
                <w:b w:val="0"/>
                <w:sz w:val="21"/>
              </w:rPr>
              <w:t>处以违法所得1倍罚款，没收全部违法所得。</w:t>
            </w:r>
          </w:p>
        </w:tc>
      </w:tr>
      <w:tr w14:paraId="77994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561" w:type="dxa"/>
            <w:vMerge w:val="continue"/>
            <w:noWrap w:val="0"/>
            <w:vAlign w:val="top"/>
          </w:tcPr>
          <w:p w14:paraId="734518C7">
            <w:pPr>
              <w:jc w:val="both"/>
            </w:pPr>
          </w:p>
        </w:tc>
        <w:tc>
          <w:tcPr>
            <w:tcW w:w="1160" w:type="dxa"/>
            <w:vMerge w:val="continue"/>
            <w:noWrap w:val="0"/>
            <w:vAlign w:val="center"/>
          </w:tcPr>
          <w:p w14:paraId="742A887E">
            <w:pPr>
              <w:jc w:val="both"/>
            </w:pPr>
          </w:p>
        </w:tc>
        <w:tc>
          <w:tcPr>
            <w:tcW w:w="3544" w:type="dxa"/>
            <w:vMerge w:val="continue"/>
            <w:noWrap w:val="0"/>
            <w:vAlign w:val="center"/>
          </w:tcPr>
          <w:p w14:paraId="55832531">
            <w:pPr>
              <w:jc w:val="both"/>
            </w:pPr>
          </w:p>
        </w:tc>
        <w:tc>
          <w:tcPr>
            <w:tcW w:w="765" w:type="dxa"/>
            <w:noWrap w:val="0"/>
            <w:vAlign w:val="center"/>
          </w:tcPr>
          <w:p w14:paraId="245BEBBE">
            <w:pPr>
              <w:jc w:val="center"/>
              <w:rPr>
                <w:rFonts w:hint="eastAsia" w:ascii="仿宋" w:hAnsi="仿宋" w:eastAsia="仿宋"/>
                <w:b w:val="0"/>
                <w:sz w:val="21"/>
                <w:lang w:val="en-US" w:eastAsia="zh-CN"/>
              </w:rPr>
            </w:pPr>
            <w:r>
              <w:rPr>
                <w:rFonts w:hint="eastAsia" w:ascii="仿宋" w:hAnsi="仿宋" w:eastAsia="仿宋"/>
                <w:b w:val="0"/>
                <w:sz w:val="21"/>
                <w:lang w:val="en-US" w:eastAsia="zh-CN"/>
              </w:rPr>
              <w:t>2</w:t>
            </w:r>
          </w:p>
        </w:tc>
        <w:tc>
          <w:tcPr>
            <w:tcW w:w="3795" w:type="dxa"/>
            <w:noWrap w:val="0"/>
            <w:vAlign w:val="center"/>
          </w:tcPr>
          <w:p w14:paraId="365BC623">
            <w:pPr>
              <w:jc w:val="both"/>
              <w:rPr>
                <w:rFonts w:ascii="仿宋" w:hAnsi="仿宋" w:eastAsia="仿宋"/>
                <w:b w:val="0"/>
                <w:sz w:val="21"/>
              </w:rPr>
            </w:pPr>
            <w:r>
              <w:rPr>
                <w:rFonts w:hint="eastAsia" w:ascii="仿宋" w:hAnsi="仿宋" w:eastAsia="仿宋"/>
                <w:b w:val="0"/>
                <w:sz w:val="21"/>
              </w:rPr>
              <w:t>多次冒用法律援助名义开展服务，或者违法所得数额较大，对部分群众形成误导，但未引发群体性投诉。</w:t>
            </w:r>
          </w:p>
        </w:tc>
        <w:tc>
          <w:tcPr>
            <w:tcW w:w="4290" w:type="dxa"/>
            <w:noWrap w:val="0"/>
            <w:vAlign w:val="center"/>
          </w:tcPr>
          <w:p w14:paraId="45B1EBFB">
            <w:pPr>
              <w:jc w:val="both"/>
              <w:rPr>
                <w:rFonts w:ascii="仿宋" w:hAnsi="仿宋" w:eastAsia="仿宋"/>
                <w:b w:val="0"/>
                <w:sz w:val="21"/>
              </w:rPr>
            </w:pPr>
            <w:r>
              <w:rPr>
                <w:rFonts w:ascii="仿宋" w:hAnsi="仿宋" w:eastAsia="仿宋"/>
                <w:b w:val="0"/>
                <w:sz w:val="21"/>
              </w:rPr>
              <w:t>由司法行政部门责令改正，</w:t>
            </w:r>
            <w:r>
              <w:rPr>
                <w:rFonts w:hint="eastAsia" w:ascii="仿宋" w:hAnsi="仿宋" w:eastAsia="仿宋"/>
                <w:b w:val="0"/>
                <w:sz w:val="21"/>
              </w:rPr>
              <w:t>处以违法所得1倍以上2倍以下罚款，没收违法所得。</w:t>
            </w:r>
          </w:p>
        </w:tc>
      </w:tr>
      <w:tr w14:paraId="49DA7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561" w:type="dxa"/>
            <w:vMerge w:val="continue"/>
            <w:noWrap w:val="0"/>
            <w:vAlign w:val="top"/>
          </w:tcPr>
          <w:p w14:paraId="1243BA52">
            <w:pPr>
              <w:jc w:val="both"/>
              <w:rPr>
                <w:rFonts w:ascii="仿宋" w:hAnsi="仿宋" w:eastAsia="仿宋"/>
                <w:b w:val="0"/>
                <w:sz w:val="21"/>
              </w:rPr>
            </w:pPr>
          </w:p>
        </w:tc>
        <w:tc>
          <w:tcPr>
            <w:tcW w:w="1160" w:type="dxa"/>
            <w:vMerge w:val="continue"/>
            <w:noWrap w:val="0"/>
            <w:vAlign w:val="center"/>
          </w:tcPr>
          <w:p w14:paraId="42EE6E6B">
            <w:pPr>
              <w:jc w:val="both"/>
              <w:rPr>
                <w:rFonts w:ascii="仿宋" w:hAnsi="仿宋" w:eastAsia="仿宋"/>
                <w:b w:val="0"/>
                <w:sz w:val="21"/>
              </w:rPr>
            </w:pPr>
          </w:p>
        </w:tc>
        <w:tc>
          <w:tcPr>
            <w:tcW w:w="3544" w:type="dxa"/>
            <w:vMerge w:val="continue"/>
            <w:noWrap w:val="0"/>
            <w:vAlign w:val="center"/>
          </w:tcPr>
          <w:p w14:paraId="37CB5BDF">
            <w:pPr>
              <w:jc w:val="both"/>
              <w:rPr>
                <w:rFonts w:ascii="仿宋" w:hAnsi="仿宋" w:eastAsia="仿宋"/>
                <w:b w:val="0"/>
                <w:sz w:val="21"/>
              </w:rPr>
            </w:pPr>
          </w:p>
        </w:tc>
        <w:tc>
          <w:tcPr>
            <w:tcW w:w="765" w:type="dxa"/>
            <w:noWrap w:val="0"/>
            <w:vAlign w:val="center"/>
          </w:tcPr>
          <w:p w14:paraId="11FC9F12">
            <w:pPr>
              <w:jc w:val="center"/>
              <w:rPr>
                <w:rFonts w:hint="eastAsia" w:ascii="仿宋" w:hAnsi="仿宋" w:eastAsia="仿宋"/>
                <w:b w:val="0"/>
                <w:sz w:val="21"/>
                <w:lang w:val="en-US" w:eastAsia="zh-CN"/>
              </w:rPr>
            </w:pPr>
            <w:r>
              <w:rPr>
                <w:rFonts w:hint="eastAsia" w:ascii="仿宋" w:hAnsi="仿宋" w:eastAsia="仿宋"/>
                <w:b w:val="0"/>
                <w:sz w:val="21"/>
                <w:lang w:val="en-US" w:eastAsia="zh-CN"/>
              </w:rPr>
              <w:t>3</w:t>
            </w:r>
          </w:p>
        </w:tc>
        <w:tc>
          <w:tcPr>
            <w:tcW w:w="3795" w:type="dxa"/>
            <w:noWrap w:val="0"/>
            <w:vAlign w:val="center"/>
          </w:tcPr>
          <w:p w14:paraId="2B6E41BD">
            <w:pPr>
              <w:jc w:val="both"/>
              <w:rPr>
                <w:rFonts w:ascii="仿宋" w:hAnsi="仿宋" w:eastAsia="仿宋"/>
                <w:b w:val="0"/>
                <w:sz w:val="21"/>
              </w:rPr>
            </w:pPr>
            <w:r>
              <w:rPr>
                <w:rFonts w:hint="eastAsia" w:ascii="仿宋" w:hAnsi="仿宋" w:eastAsia="仿宋"/>
                <w:b w:val="0"/>
                <w:sz w:val="21"/>
              </w:rPr>
              <w:t>长期假借法律援助名义大肆牟利，违法所得金额高，引发大量群众投诉、负面舆情，拒不配合调查。</w:t>
            </w:r>
          </w:p>
        </w:tc>
        <w:tc>
          <w:tcPr>
            <w:tcW w:w="4290" w:type="dxa"/>
            <w:noWrap w:val="0"/>
            <w:vAlign w:val="center"/>
          </w:tcPr>
          <w:p w14:paraId="4B4A7EDC">
            <w:pPr>
              <w:jc w:val="both"/>
              <w:rPr>
                <w:rFonts w:ascii="仿宋" w:hAnsi="仿宋" w:eastAsia="仿宋"/>
                <w:b w:val="0"/>
                <w:sz w:val="21"/>
              </w:rPr>
            </w:pPr>
            <w:r>
              <w:rPr>
                <w:rFonts w:ascii="仿宋" w:hAnsi="仿宋" w:eastAsia="仿宋"/>
                <w:b w:val="0"/>
                <w:sz w:val="21"/>
              </w:rPr>
              <w:t>由司法行政部门责令改正，</w:t>
            </w:r>
            <w:r>
              <w:rPr>
                <w:rFonts w:hint="eastAsia" w:ascii="仿宋" w:hAnsi="仿宋" w:eastAsia="仿宋"/>
                <w:b w:val="0"/>
                <w:sz w:val="21"/>
              </w:rPr>
              <w:t>处以违法所得2倍以上3倍以下罚款（顶格3倍），没收全部违法所得。</w:t>
            </w:r>
          </w:p>
        </w:tc>
      </w:tr>
    </w:tbl>
    <w:p w14:paraId="45652AF6">
      <w:pPr>
        <w:tabs>
          <w:tab w:val="left" w:pos="-620"/>
        </w:tabs>
        <w:rPr>
          <w:rFonts w:hint="eastAsia" w:ascii="仿宋" w:hAnsi="仿宋" w:eastAsia="仿宋" w:cs="仿宋"/>
          <w:sz w:val="32"/>
          <w:szCs w:val="32"/>
        </w:rPr>
      </w:pPr>
    </w:p>
    <w:p w14:paraId="344A3B03"/>
    <w:sectPr>
      <w:pgSz w:w="16838" w:h="11906" w:orient="landscape"/>
      <w:pgMar w:top="1633" w:right="1440" w:bottom="1604" w:left="1440" w:header="851" w:footer="1587" w:gutter="0"/>
      <w:pgBorders>
        <w:top w:val="none" w:sz="0" w:space="0"/>
        <w:left w:val="none" w:sz="0" w:space="0"/>
        <w:bottom w:val="none" w:sz="0" w:space="0"/>
        <w:right w:val="none" w:sz="0" w:space="0"/>
      </w:pgBorders>
      <w:pgNumType w:fmt="decimal"/>
      <w:cols w:space="720" w:num="1"/>
      <w:rtlGutter w:val="0"/>
      <w:docGrid w:type="lines" w:linePitch="32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26E2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0"/>
    <w:pPr>
      <w:tabs>
        <w:tab w:val="center" w:pos="4153"/>
        <w:tab w:val="right" w:pos="8306"/>
      </w:tabs>
      <w:snapToGrid w:val="0"/>
      <w:jc w:val="left"/>
    </w:pPr>
    <w:rPr>
      <w:sz w:val="18"/>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2026-09-11T02:45:07Z</dcterms:created>
  <dc:creator>Administrator</dc:creator>
  <cp:lastModifiedBy>林丰凯</cp:lastModifiedBy>
  <dcterms:modified xsi:type="dcterms:W3CDTF">2026-09-11T02:45:20Z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eyJoZGlkIjoiNmVhZDNmM2M5ZTU0NTY3ZTRjZjg4MzFmZTMxMzZkYzciLCJ1c2VySWQiOiIzMTU2MTE1MjIifQ==</vt:lpwstr>
  </property>
  <property fmtid="{D5CDD505-2E9C-101B-9397-08002B2CF9AE}" pid="4" name="ICV">
    <vt:lpwstr>58354B88A8DC4C509954BF2412CED216_12</vt:lpwstr>
  </property>
</Properties>
</file>